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97" w:rsidRPr="00C92BDE" w:rsidRDefault="00711297" w:rsidP="00986843">
      <w:pPr>
        <w:ind w:left="3402" w:right="991" w:hanging="992"/>
        <w:jc w:val="both"/>
        <w:rPr>
          <w:rFonts w:ascii="Tahoma" w:hAnsi="Tahoma" w:cs="Tahoma"/>
          <w:i/>
          <w:sz w:val="16"/>
          <w:szCs w:val="16"/>
        </w:rPr>
      </w:pPr>
      <w:r w:rsidRPr="00C92BDE">
        <w:rPr>
          <w:rFonts w:ascii="Tahoma" w:hAnsi="Tahoma" w:cs="Tahoma"/>
          <w:b/>
          <w:i/>
          <w:sz w:val="16"/>
          <w:szCs w:val="16"/>
        </w:rPr>
        <w:t xml:space="preserve">Sumilla: </w:t>
      </w:r>
      <w:r w:rsidR="00C92BDE">
        <w:rPr>
          <w:rFonts w:ascii="Tahoma" w:hAnsi="Tahoma" w:cs="Tahoma"/>
          <w:b/>
          <w:i/>
          <w:sz w:val="16"/>
          <w:szCs w:val="16"/>
        </w:rPr>
        <w:t xml:space="preserve">  </w:t>
      </w:r>
      <w:r w:rsidR="00C156F5" w:rsidRPr="00C92BDE">
        <w:rPr>
          <w:rFonts w:ascii="Tahoma" w:hAnsi="Tahoma" w:cs="Tahoma"/>
          <w:i/>
          <w:sz w:val="16"/>
          <w:szCs w:val="16"/>
        </w:rPr>
        <w:t>“</w:t>
      </w:r>
      <w:r w:rsidR="00C92BDE" w:rsidRPr="00C92BDE">
        <w:rPr>
          <w:rFonts w:ascii="Tahoma" w:hAnsi="Tahoma" w:cs="Tahoma"/>
          <w:i/>
          <w:sz w:val="16"/>
          <w:szCs w:val="16"/>
        </w:rPr>
        <w:t>En consecuencia, este Tribunal considera que en el presente procedimiento el Postor no ha aportado nuevos elementos de juicio que permitan modificar la decisión que adoptó en la resolución recurrida, por lo que corresponde declarar infundado el recurso de reconsideración interpuesto por la empresa ASESORIA COMERCIAL S.A. (ACOSA)</w:t>
      </w:r>
      <w:r w:rsidR="00C46DE3" w:rsidRPr="00C92BDE">
        <w:rPr>
          <w:rFonts w:ascii="Tahoma" w:hAnsi="Tahoma" w:cs="Tahoma"/>
          <w:i/>
          <w:sz w:val="16"/>
          <w:szCs w:val="16"/>
        </w:rPr>
        <w:t>”</w:t>
      </w:r>
      <w:r w:rsidR="00491A1B" w:rsidRPr="00C92BDE">
        <w:rPr>
          <w:rFonts w:ascii="Tahoma" w:hAnsi="Tahoma" w:cs="Tahoma"/>
          <w:i/>
          <w:sz w:val="16"/>
          <w:szCs w:val="16"/>
        </w:rPr>
        <w:t>.</w:t>
      </w:r>
    </w:p>
    <w:p w:rsidR="00711297" w:rsidRPr="00831F2B" w:rsidRDefault="00711297" w:rsidP="00986843">
      <w:pPr>
        <w:ind w:left="3402" w:right="991" w:hanging="992"/>
        <w:jc w:val="both"/>
        <w:rPr>
          <w:rFonts w:ascii="Tahoma" w:hAnsi="Tahoma" w:cs="Tahoma"/>
          <w:i/>
          <w:sz w:val="20"/>
          <w:szCs w:val="20"/>
        </w:rPr>
      </w:pPr>
    </w:p>
    <w:p w:rsidR="00711297" w:rsidRPr="00831F2B" w:rsidRDefault="00711297" w:rsidP="00986843">
      <w:pPr>
        <w:pStyle w:val="Textoindependiente3"/>
        <w:ind w:left="4956" w:firstLine="708"/>
        <w:jc w:val="both"/>
        <w:rPr>
          <w:rFonts w:ascii="Tahoma" w:hAnsi="Tahoma" w:cs="Tahoma"/>
          <w:b/>
          <w:sz w:val="20"/>
          <w:szCs w:val="20"/>
        </w:rPr>
      </w:pPr>
      <w:r w:rsidRPr="00831F2B">
        <w:rPr>
          <w:rFonts w:ascii="Tahoma" w:hAnsi="Tahoma" w:cs="Tahoma"/>
          <w:b/>
          <w:sz w:val="20"/>
          <w:szCs w:val="20"/>
        </w:rPr>
        <w:t xml:space="preserve">Lima, </w:t>
      </w:r>
      <w:r w:rsidR="00493A8B">
        <w:rPr>
          <w:rFonts w:ascii="Tahoma" w:hAnsi="Tahoma" w:cs="Tahoma"/>
          <w:b/>
          <w:sz w:val="20"/>
          <w:szCs w:val="20"/>
        </w:rPr>
        <w:t>27 de Abril de 2011</w:t>
      </w:r>
    </w:p>
    <w:p w:rsidR="00711297" w:rsidRPr="00831F2B" w:rsidRDefault="00711297" w:rsidP="00986843">
      <w:pPr>
        <w:jc w:val="both"/>
        <w:rPr>
          <w:rFonts w:ascii="Tahoma" w:hAnsi="Tahoma" w:cs="Tahoma"/>
          <w:sz w:val="20"/>
          <w:szCs w:val="20"/>
        </w:rPr>
      </w:pPr>
      <w:r w:rsidRPr="00831F2B">
        <w:rPr>
          <w:rFonts w:ascii="Tahoma" w:hAnsi="Tahoma" w:cs="Tahoma"/>
          <w:b/>
          <w:i/>
          <w:sz w:val="20"/>
          <w:szCs w:val="20"/>
        </w:rPr>
        <w:t xml:space="preserve">          </w:t>
      </w:r>
      <w:r w:rsidRPr="00831F2B">
        <w:rPr>
          <w:rFonts w:ascii="Tahoma" w:hAnsi="Tahoma" w:cs="Tahoma"/>
          <w:b/>
          <w:sz w:val="20"/>
          <w:szCs w:val="20"/>
        </w:rPr>
        <w:t xml:space="preserve">VISTO </w:t>
      </w:r>
      <w:r w:rsidRPr="00831F2B">
        <w:rPr>
          <w:rFonts w:ascii="Tahoma" w:hAnsi="Tahoma" w:cs="Tahoma"/>
          <w:sz w:val="20"/>
          <w:szCs w:val="20"/>
        </w:rPr>
        <w:t xml:space="preserve">en sesión de fecha </w:t>
      </w:r>
      <w:r w:rsidR="00831F2B">
        <w:rPr>
          <w:rFonts w:ascii="Tahoma" w:hAnsi="Tahoma" w:cs="Tahoma"/>
          <w:sz w:val="20"/>
          <w:szCs w:val="20"/>
        </w:rPr>
        <w:t>27 de abril</w:t>
      </w:r>
      <w:r w:rsidR="00CC02FE" w:rsidRPr="00831F2B">
        <w:rPr>
          <w:rFonts w:ascii="Tahoma" w:hAnsi="Tahoma" w:cs="Tahoma"/>
          <w:sz w:val="20"/>
          <w:szCs w:val="20"/>
        </w:rPr>
        <w:t xml:space="preserve"> de 2011</w:t>
      </w:r>
      <w:r w:rsidRPr="00831F2B">
        <w:rPr>
          <w:rFonts w:ascii="Tahoma" w:hAnsi="Tahoma" w:cs="Tahoma"/>
          <w:sz w:val="20"/>
          <w:szCs w:val="20"/>
        </w:rPr>
        <w:t xml:space="preserve">, de la </w:t>
      </w:r>
      <w:r w:rsidR="00CC02FE" w:rsidRPr="00831F2B">
        <w:rPr>
          <w:rFonts w:ascii="Tahoma" w:hAnsi="Tahoma" w:cs="Tahoma"/>
          <w:sz w:val="20"/>
          <w:szCs w:val="20"/>
        </w:rPr>
        <w:t>Primera</w:t>
      </w:r>
      <w:r w:rsidRPr="00831F2B">
        <w:rPr>
          <w:rFonts w:ascii="Tahoma" w:hAnsi="Tahoma" w:cs="Tahoma"/>
          <w:sz w:val="20"/>
          <w:szCs w:val="20"/>
        </w:rPr>
        <w:t xml:space="preserve"> Sala del Tribunal de Contrataciones del Estado, el Expediente № </w:t>
      </w:r>
      <w:r w:rsidR="00831F2B">
        <w:rPr>
          <w:rFonts w:ascii="Tahoma" w:hAnsi="Tahoma" w:cs="Tahoma"/>
          <w:sz w:val="20"/>
          <w:szCs w:val="20"/>
        </w:rPr>
        <w:t>1663</w:t>
      </w:r>
      <w:r w:rsidR="00B327B4" w:rsidRPr="00831F2B">
        <w:rPr>
          <w:rFonts w:ascii="Tahoma" w:hAnsi="Tahoma" w:cs="Tahoma"/>
          <w:sz w:val="20"/>
          <w:szCs w:val="20"/>
        </w:rPr>
        <w:t>/2010</w:t>
      </w:r>
      <w:r w:rsidRPr="00831F2B">
        <w:rPr>
          <w:rFonts w:ascii="Tahoma" w:hAnsi="Tahoma" w:cs="Tahoma"/>
          <w:sz w:val="20"/>
          <w:szCs w:val="20"/>
        </w:rPr>
        <w:t xml:space="preserve">.TC sobre el recurso de reconsideración interpuesto por </w:t>
      </w:r>
      <w:r w:rsidR="00831F2B">
        <w:rPr>
          <w:rFonts w:ascii="Tahoma" w:hAnsi="Tahoma" w:cs="Tahoma"/>
          <w:sz w:val="20"/>
          <w:szCs w:val="20"/>
        </w:rPr>
        <w:t xml:space="preserve">la empresa </w:t>
      </w:r>
      <w:r w:rsidR="00831F2B" w:rsidRPr="00831F2B">
        <w:rPr>
          <w:rFonts w:ascii="Tahoma" w:hAnsi="Tahoma" w:cs="Tahoma"/>
          <w:sz w:val="20"/>
          <w:szCs w:val="20"/>
        </w:rPr>
        <w:t>ASESORIA COMERCIAL S.A. (ACOSA)</w:t>
      </w:r>
      <w:r w:rsidR="00C46DE3" w:rsidRPr="00831F2B">
        <w:rPr>
          <w:rFonts w:ascii="Tahoma" w:hAnsi="Tahoma" w:cs="Tahoma"/>
          <w:sz w:val="20"/>
          <w:szCs w:val="20"/>
        </w:rPr>
        <w:t xml:space="preserve"> </w:t>
      </w:r>
      <w:r w:rsidRPr="00831F2B">
        <w:rPr>
          <w:rFonts w:ascii="Tahoma" w:hAnsi="Tahoma" w:cs="Tahoma"/>
          <w:sz w:val="20"/>
          <w:szCs w:val="20"/>
        </w:rPr>
        <w:t xml:space="preserve">contra la Resolución </w:t>
      </w:r>
      <w:r w:rsidR="00831F2B" w:rsidRPr="00831F2B">
        <w:rPr>
          <w:rFonts w:ascii="Tahoma" w:hAnsi="Tahoma" w:cs="Tahoma"/>
          <w:sz w:val="20"/>
          <w:szCs w:val="20"/>
        </w:rPr>
        <w:t>№ 575-2011-TC-S1 del 31 de marzo de 2011</w:t>
      </w:r>
      <w:r w:rsidRPr="00831F2B">
        <w:rPr>
          <w:rFonts w:ascii="Tahoma" w:hAnsi="Tahoma" w:cs="Tahoma"/>
          <w:sz w:val="20"/>
          <w:szCs w:val="20"/>
        </w:rPr>
        <w:t xml:space="preserve">, que dispuso imponer sanción administrativa de inhabilitación temporal en sus derechos para participar en procesos de selección y contratar con el Estado, por el periodo de </w:t>
      </w:r>
      <w:r w:rsidR="00C46DE3" w:rsidRPr="00831F2B">
        <w:rPr>
          <w:rFonts w:ascii="Tahoma" w:hAnsi="Tahoma" w:cs="Tahoma"/>
          <w:sz w:val="20"/>
          <w:szCs w:val="20"/>
        </w:rPr>
        <w:t xml:space="preserve">catorce </w:t>
      </w:r>
      <w:r w:rsidRPr="00831F2B">
        <w:rPr>
          <w:rFonts w:ascii="Tahoma" w:hAnsi="Tahoma" w:cs="Tahoma"/>
          <w:sz w:val="20"/>
          <w:szCs w:val="20"/>
        </w:rPr>
        <w:t>(</w:t>
      </w:r>
      <w:r w:rsidR="009C3AD8" w:rsidRPr="00831F2B">
        <w:rPr>
          <w:rFonts w:ascii="Tahoma" w:hAnsi="Tahoma" w:cs="Tahoma"/>
          <w:sz w:val="20"/>
          <w:szCs w:val="20"/>
        </w:rPr>
        <w:t>1</w:t>
      </w:r>
      <w:r w:rsidR="00C46DE3" w:rsidRPr="00831F2B">
        <w:rPr>
          <w:rFonts w:ascii="Tahoma" w:hAnsi="Tahoma" w:cs="Tahoma"/>
          <w:sz w:val="20"/>
          <w:szCs w:val="20"/>
        </w:rPr>
        <w:t>4</w:t>
      </w:r>
      <w:r w:rsidRPr="00831F2B">
        <w:rPr>
          <w:rFonts w:ascii="Tahoma" w:hAnsi="Tahoma" w:cs="Tahoma"/>
          <w:sz w:val="20"/>
          <w:szCs w:val="20"/>
        </w:rPr>
        <w:t xml:space="preserve">) meses; y, atendiendo a los siguientes: </w:t>
      </w:r>
    </w:p>
    <w:p w:rsidR="00711297" w:rsidRPr="00831F2B" w:rsidRDefault="00711297" w:rsidP="00986843">
      <w:pPr>
        <w:jc w:val="both"/>
        <w:rPr>
          <w:rFonts w:ascii="Tahoma" w:hAnsi="Tahoma" w:cs="Tahoma"/>
          <w:color w:val="000000"/>
          <w:sz w:val="20"/>
          <w:szCs w:val="20"/>
        </w:rPr>
      </w:pPr>
    </w:p>
    <w:p w:rsidR="00711297" w:rsidRPr="00831F2B" w:rsidRDefault="00711297" w:rsidP="00986843">
      <w:pPr>
        <w:jc w:val="both"/>
        <w:rPr>
          <w:rFonts w:ascii="Tahoma" w:hAnsi="Tahoma" w:cs="Tahoma"/>
          <w:b/>
          <w:sz w:val="20"/>
          <w:szCs w:val="20"/>
        </w:rPr>
      </w:pPr>
      <w:r w:rsidRPr="00831F2B">
        <w:rPr>
          <w:rFonts w:ascii="Tahoma" w:hAnsi="Tahoma" w:cs="Tahoma"/>
          <w:b/>
          <w:sz w:val="20"/>
          <w:szCs w:val="20"/>
        </w:rPr>
        <w:t>ANTECEDENTES:</w:t>
      </w:r>
    </w:p>
    <w:p w:rsidR="00711297" w:rsidRPr="00831F2B" w:rsidRDefault="00711297" w:rsidP="00986843">
      <w:pPr>
        <w:jc w:val="both"/>
        <w:rPr>
          <w:rFonts w:ascii="Tahoma" w:hAnsi="Tahoma" w:cs="Tahoma"/>
          <w:b/>
          <w:sz w:val="20"/>
          <w:szCs w:val="20"/>
        </w:rPr>
      </w:pPr>
    </w:p>
    <w:p w:rsidR="00831F2B" w:rsidRPr="00831F2B" w:rsidRDefault="00831F2B" w:rsidP="00831F2B">
      <w:pPr>
        <w:numPr>
          <w:ilvl w:val="0"/>
          <w:numId w:val="4"/>
        </w:numPr>
        <w:tabs>
          <w:tab w:val="clear" w:pos="720"/>
          <w:tab w:val="num" w:pos="567"/>
          <w:tab w:val="left" w:pos="4320"/>
        </w:tabs>
        <w:ind w:left="567" w:hanging="567"/>
        <w:jc w:val="both"/>
        <w:rPr>
          <w:rFonts w:ascii="Tahoma" w:hAnsi="Tahoma" w:cs="Tahoma"/>
          <w:b/>
          <w:bCs/>
          <w:sz w:val="20"/>
          <w:szCs w:val="20"/>
        </w:rPr>
      </w:pPr>
      <w:r w:rsidRPr="00831F2B">
        <w:rPr>
          <w:rFonts w:ascii="Tahoma" w:hAnsi="Tahoma" w:cs="Tahoma"/>
          <w:sz w:val="20"/>
          <w:szCs w:val="20"/>
        </w:rPr>
        <w:t>El  01 de setiembre de 2010, la Presidencia del Consejo de Ministros</w:t>
      </w:r>
      <w:r w:rsidRPr="00831F2B">
        <w:rPr>
          <w:rFonts w:ascii="Tahoma" w:hAnsi="Tahoma" w:cs="Tahoma"/>
          <w:sz w:val="20"/>
          <w:szCs w:val="20"/>
          <w:lang w:val="es-PE"/>
        </w:rPr>
        <w:t xml:space="preserve">, en adelante la Entidad, </w:t>
      </w:r>
      <w:r w:rsidRPr="00831F2B">
        <w:rPr>
          <w:rFonts w:ascii="Tahoma" w:hAnsi="Tahoma" w:cs="Tahoma"/>
          <w:sz w:val="20"/>
          <w:szCs w:val="20"/>
        </w:rPr>
        <w:t>convocó la Adjudicación de Menor Cuantía № 024-2010-PCM, primera convocatoria, para la contratación del suministro de gasolina de 90º octanos para los vehículos que forman parte del parque automotor de la Entidad, bajo el sistema de precios unitarios, con un valor referencial ascendente a S/. 19 099,80 (Diecinueve mil noventa y nueve con 80/100 nuevos soles), incluido los impuestos de Ley.</w:t>
      </w:r>
    </w:p>
    <w:p w:rsidR="00831F2B" w:rsidRPr="00831F2B" w:rsidRDefault="00831F2B" w:rsidP="00831F2B">
      <w:pPr>
        <w:tabs>
          <w:tab w:val="left" w:pos="4320"/>
        </w:tabs>
        <w:ind w:left="567"/>
        <w:rPr>
          <w:rFonts w:ascii="Tahoma" w:hAnsi="Tahoma" w:cs="Tahoma"/>
          <w:b/>
          <w:bCs/>
          <w:sz w:val="20"/>
          <w:szCs w:val="20"/>
        </w:rPr>
      </w:pPr>
    </w:p>
    <w:p w:rsidR="00831F2B" w:rsidRPr="00831F2B" w:rsidRDefault="00831F2B" w:rsidP="00831F2B">
      <w:pPr>
        <w:numPr>
          <w:ilvl w:val="0"/>
          <w:numId w:val="4"/>
        </w:numPr>
        <w:tabs>
          <w:tab w:val="clear" w:pos="720"/>
          <w:tab w:val="num" w:pos="567"/>
          <w:tab w:val="left" w:pos="4320"/>
        </w:tabs>
        <w:ind w:left="567" w:hanging="567"/>
        <w:jc w:val="both"/>
        <w:rPr>
          <w:rFonts w:ascii="Tahoma" w:hAnsi="Tahoma" w:cs="Tahoma"/>
          <w:sz w:val="20"/>
          <w:szCs w:val="20"/>
        </w:rPr>
      </w:pPr>
      <w:r w:rsidRPr="00831F2B">
        <w:rPr>
          <w:rFonts w:ascii="Tahoma" w:hAnsi="Tahoma" w:cs="Tahoma"/>
          <w:sz w:val="20"/>
          <w:szCs w:val="20"/>
        </w:rPr>
        <w:t>El 10 de Setiembre de 2010, luego de evaluarse la propuesta presentada, el Comité Especial otorgó la Buena Pro a la empresa ASESORIA COMERCIAL S.A. (ACOSA), en adelante el Postor, por su oferta económica equivalente a la suma de S/. 18 775.80 nuevos soles. Cabe señalar, que el Acta de Otorgamiento de la Buena Pro fue publicada en la ficha del proceso de selección del SEACE el mismo día, mes y año.</w:t>
      </w:r>
    </w:p>
    <w:p w:rsidR="00831F2B" w:rsidRPr="00831F2B" w:rsidRDefault="00831F2B" w:rsidP="00831F2B">
      <w:pPr>
        <w:pStyle w:val="Prrafodelista"/>
        <w:rPr>
          <w:rFonts w:ascii="Tahoma" w:hAnsi="Tahoma" w:cs="Tahoma"/>
          <w:sz w:val="20"/>
          <w:szCs w:val="20"/>
        </w:rPr>
      </w:pPr>
    </w:p>
    <w:p w:rsidR="00831F2B" w:rsidRPr="00831F2B" w:rsidRDefault="00831F2B" w:rsidP="00831F2B">
      <w:pPr>
        <w:numPr>
          <w:ilvl w:val="0"/>
          <w:numId w:val="4"/>
        </w:numPr>
        <w:tabs>
          <w:tab w:val="clear" w:pos="720"/>
          <w:tab w:val="num" w:pos="567"/>
          <w:tab w:val="left" w:pos="4320"/>
        </w:tabs>
        <w:ind w:left="567" w:hanging="567"/>
        <w:jc w:val="both"/>
        <w:rPr>
          <w:rFonts w:ascii="Tahoma" w:hAnsi="Tahoma" w:cs="Tahoma"/>
          <w:sz w:val="20"/>
          <w:szCs w:val="20"/>
        </w:rPr>
      </w:pPr>
      <w:r w:rsidRPr="00831F2B">
        <w:rPr>
          <w:rFonts w:ascii="Tahoma" w:hAnsi="Tahoma" w:cs="Tahoma"/>
          <w:sz w:val="20"/>
          <w:szCs w:val="20"/>
        </w:rPr>
        <w:t>Con Oficio № 288-2010-PCM/OAA de fecha 13 de septiembre de 2010, notificada el 15 del mismo mes y año, la Entidad requirió al Postor a fin que cumpliera con presentar la documentación pertinente para la suscripción del contrato dentro de un plazo no mayor a cinco (05) días hábiles, plazo que a tenor de lo señalado en el documento vencía el 20 de septiembre de 2010.</w:t>
      </w:r>
    </w:p>
    <w:p w:rsidR="00831F2B" w:rsidRPr="00831F2B" w:rsidRDefault="00831F2B" w:rsidP="00831F2B">
      <w:pPr>
        <w:pStyle w:val="Prrafodelista"/>
        <w:rPr>
          <w:rFonts w:ascii="Tahoma" w:hAnsi="Tahoma" w:cs="Tahoma"/>
          <w:sz w:val="20"/>
          <w:szCs w:val="20"/>
        </w:rPr>
      </w:pPr>
    </w:p>
    <w:p w:rsidR="00831F2B" w:rsidRPr="00831F2B" w:rsidRDefault="00831F2B" w:rsidP="00831F2B">
      <w:pPr>
        <w:numPr>
          <w:ilvl w:val="0"/>
          <w:numId w:val="4"/>
        </w:numPr>
        <w:tabs>
          <w:tab w:val="clear" w:pos="720"/>
          <w:tab w:val="num" w:pos="567"/>
          <w:tab w:val="left" w:pos="4320"/>
        </w:tabs>
        <w:ind w:left="567" w:hanging="567"/>
        <w:jc w:val="both"/>
        <w:rPr>
          <w:rFonts w:ascii="Tahoma" w:hAnsi="Tahoma" w:cs="Tahoma"/>
          <w:sz w:val="20"/>
          <w:szCs w:val="20"/>
        </w:rPr>
      </w:pPr>
      <w:r w:rsidRPr="00831F2B">
        <w:rPr>
          <w:rFonts w:ascii="Tahoma" w:hAnsi="Tahoma" w:cs="Tahoma"/>
          <w:sz w:val="20"/>
          <w:szCs w:val="20"/>
        </w:rPr>
        <w:t>El 23 de septiembre de 2010, a través de la Carta № GG-811/10, el Postor remitió la documentación solicitada por la Entidad para la suscripción del contrato.</w:t>
      </w:r>
    </w:p>
    <w:p w:rsidR="00831F2B" w:rsidRPr="00831F2B" w:rsidRDefault="00831F2B" w:rsidP="00831F2B">
      <w:pPr>
        <w:pStyle w:val="Prrafodelista"/>
        <w:rPr>
          <w:rFonts w:ascii="Tahoma" w:hAnsi="Tahoma" w:cs="Tahoma"/>
          <w:sz w:val="20"/>
          <w:szCs w:val="20"/>
        </w:rPr>
      </w:pPr>
    </w:p>
    <w:p w:rsidR="00831F2B" w:rsidRPr="00831F2B" w:rsidRDefault="00831F2B" w:rsidP="00831F2B">
      <w:pPr>
        <w:numPr>
          <w:ilvl w:val="0"/>
          <w:numId w:val="4"/>
        </w:numPr>
        <w:tabs>
          <w:tab w:val="clear" w:pos="720"/>
          <w:tab w:val="num" w:pos="567"/>
          <w:tab w:val="left" w:pos="4320"/>
        </w:tabs>
        <w:ind w:left="567" w:hanging="567"/>
        <w:jc w:val="both"/>
        <w:rPr>
          <w:rFonts w:ascii="Tahoma" w:hAnsi="Tahoma" w:cs="Tahoma"/>
          <w:sz w:val="20"/>
          <w:szCs w:val="20"/>
        </w:rPr>
      </w:pPr>
      <w:r w:rsidRPr="00831F2B">
        <w:rPr>
          <w:rFonts w:ascii="Tahoma" w:hAnsi="Tahoma" w:cs="Tahoma"/>
          <w:sz w:val="20"/>
          <w:szCs w:val="20"/>
        </w:rPr>
        <w:t xml:space="preserve">A través de la Carta № 086-2010-PCM/OAA de fecha 29 de septiembre de 2010, diligenciada vía conducto notarial el 30 del mismo mes y año, la Entidad comunicó al Postor que al no haberse constituido a la Entidad para la respectiva firma en el plazo establecido, había perdido automáticamente la Buena Pro otorgada a su favor. </w:t>
      </w:r>
    </w:p>
    <w:p w:rsidR="00831F2B" w:rsidRPr="00831F2B" w:rsidRDefault="00831F2B" w:rsidP="00831F2B">
      <w:pPr>
        <w:pStyle w:val="Prrafodelista"/>
        <w:rPr>
          <w:rFonts w:ascii="Tahoma" w:hAnsi="Tahoma" w:cs="Tahoma"/>
          <w:sz w:val="20"/>
          <w:szCs w:val="20"/>
        </w:rPr>
      </w:pPr>
    </w:p>
    <w:p w:rsidR="00831F2B" w:rsidRPr="00831F2B" w:rsidRDefault="00831F2B" w:rsidP="00831F2B">
      <w:pPr>
        <w:numPr>
          <w:ilvl w:val="0"/>
          <w:numId w:val="4"/>
        </w:numPr>
        <w:tabs>
          <w:tab w:val="clear" w:pos="720"/>
          <w:tab w:val="num" w:pos="567"/>
          <w:tab w:val="left" w:pos="4320"/>
        </w:tabs>
        <w:ind w:left="567" w:hanging="567"/>
        <w:jc w:val="both"/>
        <w:rPr>
          <w:rFonts w:ascii="Tahoma" w:hAnsi="Tahoma" w:cs="Tahoma"/>
          <w:sz w:val="20"/>
          <w:szCs w:val="20"/>
        </w:rPr>
      </w:pPr>
      <w:r w:rsidRPr="00831F2B">
        <w:rPr>
          <w:rFonts w:ascii="Tahoma" w:hAnsi="Tahoma" w:cs="Tahoma"/>
          <w:sz w:val="20"/>
          <w:szCs w:val="20"/>
        </w:rPr>
        <w:t xml:space="preserve">Con Formulario de Aplicación de Sanción presentado el 17 de noviembre de 2010, la Entidad puso en conocimiento del Tribunal de Contrataciones del Estado, en adelante el Tribunal, que el Postor no había cumplido con suscribir el contrato derivado de la Adjudicación de Menor Cuantía № 024-2010-PCM. Para tal efecto, adjuntó el Informe № </w:t>
      </w:r>
      <w:r w:rsidRPr="00831F2B">
        <w:rPr>
          <w:rFonts w:ascii="Tahoma" w:hAnsi="Tahoma" w:cs="Tahoma"/>
          <w:sz w:val="20"/>
          <w:szCs w:val="20"/>
        </w:rPr>
        <w:lastRenderedPageBreak/>
        <w:t>398-2010-PCM/OGAJ-WVE de fecha 27 de octubre de 2010, mediante el cual expuso los hechos antes mencionados.</w:t>
      </w:r>
    </w:p>
    <w:p w:rsidR="00831F2B" w:rsidRPr="00831F2B" w:rsidRDefault="00831F2B" w:rsidP="00831F2B">
      <w:pPr>
        <w:pStyle w:val="Prrafodelista"/>
        <w:rPr>
          <w:rFonts w:ascii="Tahoma" w:hAnsi="Tahoma" w:cs="Tahoma"/>
          <w:sz w:val="20"/>
          <w:szCs w:val="20"/>
        </w:rPr>
      </w:pPr>
    </w:p>
    <w:p w:rsidR="00831F2B" w:rsidRPr="00831F2B" w:rsidRDefault="00831F2B" w:rsidP="00831F2B">
      <w:pPr>
        <w:numPr>
          <w:ilvl w:val="0"/>
          <w:numId w:val="4"/>
        </w:numPr>
        <w:tabs>
          <w:tab w:val="clear" w:pos="720"/>
          <w:tab w:val="num" w:pos="567"/>
          <w:tab w:val="left" w:pos="4320"/>
        </w:tabs>
        <w:ind w:left="567" w:hanging="567"/>
        <w:jc w:val="both"/>
        <w:rPr>
          <w:rFonts w:ascii="Tahoma" w:hAnsi="Tahoma" w:cs="Tahoma"/>
          <w:sz w:val="20"/>
          <w:szCs w:val="20"/>
        </w:rPr>
      </w:pPr>
      <w:r w:rsidRPr="00831F2B">
        <w:rPr>
          <w:rFonts w:ascii="Tahoma" w:hAnsi="Tahoma" w:cs="Tahoma"/>
          <w:sz w:val="20"/>
          <w:szCs w:val="20"/>
        </w:rPr>
        <w:t xml:space="preserve">Mediante decreto de fecha 22 de noviembre de 2010, notificado el 16 de febrero de 2011, el Tribunal inició procedimiento administrativo sancionador contra del Postor por supuesta responsabilidad en la no suscripción injustificada del contrato, derivado de la Adjudicación de Menor Cuantía № 024-2010-PCM, primera convocatoria; </w:t>
      </w:r>
      <w:r w:rsidRPr="00831F2B">
        <w:rPr>
          <w:rFonts w:ascii="Tahoma" w:hAnsi="Tahoma" w:cs="Tahoma"/>
          <w:bCs/>
          <w:sz w:val="20"/>
          <w:szCs w:val="20"/>
        </w:rPr>
        <w:t xml:space="preserve">infracción </w:t>
      </w:r>
      <w:r w:rsidRPr="00831F2B">
        <w:rPr>
          <w:rFonts w:ascii="Tahoma" w:hAnsi="Tahoma" w:cs="Tahoma"/>
          <w:sz w:val="20"/>
          <w:szCs w:val="20"/>
        </w:rPr>
        <w:t>tipificada en el literal a) del numeral 51.1 del artículo 51 de la Ley en concordancia con el literal a) del numeral 1 del artículo 237 del Reglamento</w:t>
      </w:r>
      <w:r w:rsidRPr="00831F2B">
        <w:rPr>
          <w:rFonts w:ascii="Tahoma" w:hAnsi="Tahoma" w:cs="Tahoma"/>
          <w:bCs/>
          <w:sz w:val="20"/>
          <w:szCs w:val="20"/>
        </w:rPr>
        <w:t>, y le otorgó el plazo de diez (10) días para que cumpliera con formular sus descargos, bajo apercibimiento de resolver con la documentación obrante en autos.</w:t>
      </w:r>
    </w:p>
    <w:p w:rsidR="00831F2B" w:rsidRPr="00831F2B" w:rsidRDefault="00831F2B" w:rsidP="00831F2B">
      <w:pPr>
        <w:pStyle w:val="Prrafodelista"/>
        <w:rPr>
          <w:rFonts w:ascii="Tahoma" w:hAnsi="Tahoma" w:cs="Tahoma"/>
          <w:sz w:val="20"/>
          <w:szCs w:val="20"/>
        </w:rPr>
      </w:pPr>
    </w:p>
    <w:p w:rsidR="00831F2B" w:rsidRPr="00831F2B" w:rsidRDefault="00831F2B" w:rsidP="00831F2B">
      <w:pPr>
        <w:numPr>
          <w:ilvl w:val="0"/>
          <w:numId w:val="4"/>
        </w:numPr>
        <w:tabs>
          <w:tab w:val="clear" w:pos="720"/>
          <w:tab w:val="num" w:pos="567"/>
          <w:tab w:val="left" w:pos="4320"/>
        </w:tabs>
        <w:ind w:left="567" w:hanging="567"/>
        <w:jc w:val="both"/>
        <w:rPr>
          <w:rFonts w:ascii="Tahoma" w:hAnsi="Tahoma" w:cs="Tahoma"/>
          <w:sz w:val="20"/>
          <w:szCs w:val="20"/>
        </w:rPr>
      </w:pPr>
      <w:r w:rsidRPr="00831F2B">
        <w:rPr>
          <w:rFonts w:ascii="Tahoma" w:hAnsi="Tahoma" w:cs="Tahoma"/>
          <w:sz w:val="20"/>
          <w:szCs w:val="20"/>
        </w:rPr>
        <w:t>Habiendo transcurrido el plazo otorgado, sin que el Postor cumpliera con presentar sus descargos respectivos y obrando en autos los antecedentes administrativos remitidos por la Entidad, con decreto de fecha 08 de marzo de 2011, previa razón de Secretaria del Tribunal, se hizo efectivo el apercibimiento de resolver con la documentación obrante en autos y se remitió el expediente a la Primera Sala del Tribunal para que resuelva.</w:t>
      </w:r>
    </w:p>
    <w:p w:rsidR="00831F2B" w:rsidRPr="00831F2B" w:rsidRDefault="00831F2B" w:rsidP="00831F2B">
      <w:pPr>
        <w:pStyle w:val="Prrafodelista"/>
        <w:rPr>
          <w:rFonts w:ascii="Tahoma" w:hAnsi="Tahoma" w:cs="Tahoma"/>
          <w:sz w:val="20"/>
          <w:szCs w:val="20"/>
        </w:rPr>
      </w:pPr>
    </w:p>
    <w:p w:rsidR="00831F2B" w:rsidRPr="00831F2B" w:rsidRDefault="00831F2B" w:rsidP="00831F2B">
      <w:pPr>
        <w:numPr>
          <w:ilvl w:val="0"/>
          <w:numId w:val="4"/>
        </w:numPr>
        <w:tabs>
          <w:tab w:val="clear" w:pos="720"/>
          <w:tab w:val="num" w:pos="567"/>
          <w:tab w:val="left" w:pos="4320"/>
        </w:tabs>
        <w:ind w:left="567" w:hanging="567"/>
        <w:jc w:val="both"/>
        <w:rPr>
          <w:rFonts w:ascii="Tahoma" w:hAnsi="Tahoma" w:cs="Tahoma"/>
          <w:sz w:val="20"/>
          <w:szCs w:val="20"/>
        </w:rPr>
      </w:pPr>
      <w:r w:rsidRPr="00831F2B">
        <w:rPr>
          <w:rFonts w:ascii="Tahoma" w:hAnsi="Tahoma" w:cs="Tahoma"/>
          <w:sz w:val="20"/>
          <w:szCs w:val="20"/>
        </w:rPr>
        <w:t>Mediante Resolución № 575-2011-TC-S1 del 31 de marzo de 2011, notificado el 04 de abril del mismo año, el Tribunal impuso a la empresa ASESORIA COMERCIAL S.A. (ACOSA) sanción administrativa de inhabilitación temporal por el periodo de catorce (14) meses en sus derechos de participar en procesos de selección y contratar con el Estado, al haber incurrido en la infracción referida a la responsabilidad en la no suscripción injustificada del contrato, infracción tipificada en e</w:t>
      </w:r>
      <w:r w:rsidRPr="00831F2B">
        <w:rPr>
          <w:rFonts w:ascii="Tahoma" w:hAnsi="Tahoma" w:cs="Tahoma"/>
          <w:bCs/>
          <w:sz w:val="20"/>
          <w:szCs w:val="20"/>
        </w:rPr>
        <w:t>l literal a) del numeral 1 del artículo 237 del Reglamento de la Ley de Contrataciones del Estado.</w:t>
      </w:r>
    </w:p>
    <w:p w:rsidR="00831F2B" w:rsidRPr="00831F2B" w:rsidRDefault="00831F2B" w:rsidP="00831F2B">
      <w:pPr>
        <w:pStyle w:val="Prrafodelista"/>
        <w:rPr>
          <w:rFonts w:ascii="Tahoma" w:hAnsi="Tahoma" w:cs="Tahoma"/>
          <w:sz w:val="20"/>
          <w:szCs w:val="20"/>
        </w:rPr>
      </w:pPr>
    </w:p>
    <w:p w:rsidR="00831F2B" w:rsidRPr="00831F2B" w:rsidRDefault="00831F2B" w:rsidP="00831F2B">
      <w:pPr>
        <w:ind w:left="567"/>
        <w:jc w:val="both"/>
        <w:rPr>
          <w:rFonts w:ascii="Tahoma" w:hAnsi="Tahoma" w:cs="Tahoma"/>
          <w:sz w:val="20"/>
          <w:szCs w:val="20"/>
          <w:shd w:val="clear" w:color="auto" w:fill="FFFFFF"/>
        </w:rPr>
      </w:pPr>
      <w:r w:rsidRPr="00831F2B">
        <w:rPr>
          <w:rFonts w:ascii="Tahoma" w:hAnsi="Tahoma" w:cs="Tahoma"/>
          <w:sz w:val="20"/>
          <w:szCs w:val="20"/>
          <w:shd w:val="clear" w:color="auto" w:fill="FFFFFF"/>
        </w:rPr>
        <w:t>En dicha oportunidad, el Tribunal determinó que el Postor, no tomó la debida diligencia ni las precauciones del caso para recabar la documentación necesaria para la firma del respectivo contrato dentro del plazo estipulado y que por lo tanto éste no acreditó ninguna causa justificante para la no suscripción del contrato, ni existía una demostración convincente y clara que ello haya sido producto de una imposibilidad física o jurídica sobrevenida al otorgamiento de la Buena pro, por lo que se concluyó que la no suscripción del contrato había sido responsabilidad del Postor.</w:t>
      </w:r>
    </w:p>
    <w:p w:rsidR="00831F2B" w:rsidRPr="00831F2B" w:rsidRDefault="00831F2B" w:rsidP="00831F2B">
      <w:pPr>
        <w:rPr>
          <w:rFonts w:ascii="Tahoma" w:hAnsi="Tahoma" w:cs="Tahoma"/>
          <w:sz w:val="20"/>
          <w:szCs w:val="20"/>
        </w:rPr>
      </w:pPr>
    </w:p>
    <w:p w:rsidR="00831F2B" w:rsidRPr="00831F2B" w:rsidRDefault="00831F2B" w:rsidP="00831F2B">
      <w:pPr>
        <w:pStyle w:val="Textoindependiente"/>
        <w:numPr>
          <w:ilvl w:val="0"/>
          <w:numId w:val="4"/>
        </w:numPr>
        <w:tabs>
          <w:tab w:val="clear" w:pos="720"/>
          <w:tab w:val="left" w:pos="-2340"/>
          <w:tab w:val="num" w:pos="567"/>
        </w:tabs>
        <w:spacing w:after="0"/>
        <w:ind w:left="567" w:hanging="567"/>
        <w:jc w:val="both"/>
        <w:rPr>
          <w:rFonts w:ascii="Tahoma" w:hAnsi="Tahoma" w:cs="Tahoma"/>
          <w:sz w:val="20"/>
          <w:szCs w:val="20"/>
        </w:rPr>
      </w:pPr>
      <w:r w:rsidRPr="00831F2B">
        <w:rPr>
          <w:rFonts w:ascii="Tahoma" w:hAnsi="Tahoma" w:cs="Tahoma"/>
          <w:sz w:val="20"/>
          <w:szCs w:val="20"/>
        </w:rPr>
        <w:t>Mediante escritos presentados el 11 y subsanado el 12 de abril de 2011, el Postor interpuso recurso de reconsideración contra la Resolución № 575-2011-TC-S1 de fecha 31 de marzo de 2011 y solicitó al Tribunal que resolviera con arreglo a ley, por los argumentos contenidos en dicho recurso.</w:t>
      </w:r>
    </w:p>
    <w:p w:rsidR="00831F2B" w:rsidRPr="00831F2B" w:rsidRDefault="00831F2B" w:rsidP="00831F2B">
      <w:pPr>
        <w:pStyle w:val="Prrafodelista"/>
        <w:ind w:left="567"/>
        <w:rPr>
          <w:rFonts w:ascii="Tahoma" w:hAnsi="Tahoma" w:cs="Tahoma"/>
          <w:sz w:val="20"/>
          <w:szCs w:val="20"/>
        </w:rPr>
      </w:pPr>
    </w:p>
    <w:p w:rsidR="00831F2B" w:rsidRPr="00831F2B" w:rsidRDefault="00831F2B" w:rsidP="00831F2B">
      <w:pPr>
        <w:pStyle w:val="Prrafodelista"/>
        <w:numPr>
          <w:ilvl w:val="0"/>
          <w:numId w:val="4"/>
        </w:numPr>
        <w:ind w:left="567" w:hanging="567"/>
        <w:jc w:val="both"/>
        <w:rPr>
          <w:rFonts w:ascii="Tahoma" w:hAnsi="Tahoma" w:cs="Tahoma"/>
          <w:sz w:val="20"/>
          <w:szCs w:val="20"/>
        </w:rPr>
      </w:pPr>
      <w:r w:rsidRPr="00831F2B">
        <w:rPr>
          <w:rFonts w:ascii="Tahoma" w:hAnsi="Tahoma" w:cs="Tahoma"/>
          <w:sz w:val="20"/>
          <w:szCs w:val="20"/>
        </w:rPr>
        <w:t>Mediante decreto de fecha 13 de abril de 2011, se admitió a trámite el recurso de reconsideración interpuesto y se remitió el presente expediente a la Primera Sala del Tribunal para que resolviera el recurso de reconsideración presentado por empresa ASESORIA COMERCIAL S.A. (ACOSA).</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Prrafodelista"/>
        <w:numPr>
          <w:ilvl w:val="0"/>
          <w:numId w:val="4"/>
        </w:numPr>
        <w:ind w:left="567" w:hanging="567"/>
        <w:jc w:val="both"/>
        <w:rPr>
          <w:rFonts w:ascii="Tahoma" w:hAnsi="Tahoma" w:cs="Tahoma"/>
          <w:sz w:val="20"/>
          <w:szCs w:val="20"/>
        </w:rPr>
      </w:pPr>
      <w:r w:rsidRPr="00831F2B">
        <w:rPr>
          <w:rFonts w:ascii="Tahoma" w:hAnsi="Tahoma" w:cs="Tahoma"/>
          <w:sz w:val="20"/>
          <w:szCs w:val="20"/>
        </w:rPr>
        <w:t>El 26 de abril de 2011, se declaró frustrada la diligencia de Audiencia Pública programada para esa fecha, debido a la inasistencia de las partes.</w:t>
      </w:r>
    </w:p>
    <w:p w:rsidR="00A460D5" w:rsidRPr="00831F2B" w:rsidRDefault="00A460D5" w:rsidP="00986843">
      <w:pPr>
        <w:tabs>
          <w:tab w:val="left" w:pos="567"/>
        </w:tabs>
        <w:ind w:left="567" w:right="-2"/>
        <w:jc w:val="both"/>
        <w:rPr>
          <w:rFonts w:ascii="Tahoma" w:hAnsi="Tahoma" w:cs="Tahoma"/>
          <w:sz w:val="20"/>
          <w:szCs w:val="20"/>
        </w:rPr>
      </w:pPr>
    </w:p>
    <w:p w:rsidR="00711297" w:rsidRPr="00831F2B" w:rsidRDefault="00711297" w:rsidP="00986843">
      <w:pPr>
        <w:jc w:val="both"/>
        <w:rPr>
          <w:rFonts w:ascii="Tahoma" w:hAnsi="Tahoma" w:cs="Tahoma"/>
          <w:b/>
          <w:sz w:val="20"/>
          <w:szCs w:val="20"/>
        </w:rPr>
      </w:pPr>
      <w:r w:rsidRPr="00831F2B">
        <w:rPr>
          <w:rFonts w:ascii="Tahoma" w:hAnsi="Tahoma" w:cs="Tahoma"/>
          <w:b/>
          <w:sz w:val="20"/>
          <w:szCs w:val="20"/>
        </w:rPr>
        <w:t>FUNDAMENTACIÓN:</w:t>
      </w:r>
    </w:p>
    <w:p w:rsidR="00711297" w:rsidRPr="00831F2B" w:rsidRDefault="00711297" w:rsidP="00986843">
      <w:pPr>
        <w:jc w:val="both"/>
        <w:rPr>
          <w:rFonts w:ascii="Tahoma" w:hAnsi="Tahoma" w:cs="Tahoma"/>
          <w:b/>
          <w:sz w:val="20"/>
          <w:szCs w:val="20"/>
        </w:rPr>
      </w:pPr>
    </w:p>
    <w:p w:rsidR="00831F2B" w:rsidRPr="00831F2B" w:rsidRDefault="00831F2B" w:rsidP="00831F2B">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831F2B">
        <w:rPr>
          <w:rFonts w:ascii="Tahoma" w:hAnsi="Tahoma" w:cs="Tahoma"/>
          <w:sz w:val="20"/>
          <w:szCs w:val="20"/>
        </w:rPr>
        <w:lastRenderedPageBreak/>
        <w:t>El recurso de reconsideración en los procedimientos administrativos sancionadores a cargo del Tribunal ha sido regulado en el artículo 249 del Reglamento de la Ley de Contrataciones del Estado aprobado mediante Decreto Supremo № 184-2008-EF</w:t>
      </w:r>
      <w:r w:rsidRPr="00831F2B">
        <w:rPr>
          <w:rFonts w:ascii="Tahoma" w:hAnsi="Tahoma" w:cs="Tahoma"/>
          <w:sz w:val="20"/>
          <w:szCs w:val="20"/>
          <w:vertAlign w:val="superscript"/>
        </w:rPr>
        <w:footnoteReference w:id="2"/>
      </w:r>
      <w:r w:rsidRPr="00831F2B">
        <w:rPr>
          <w:rFonts w:ascii="Tahoma" w:hAnsi="Tahoma" w:cs="Tahoma"/>
          <w:sz w:val="20"/>
          <w:szCs w:val="20"/>
        </w:rPr>
        <w:t>, a cuyo tenor aquél debe ser interpuesto dentro de los cinco (5) días hábiles siguientes de la notificación de la resolución que impone la sanción y resuelto en el término de quince (15) días hábiles desde su presentación o subsanación.</w:t>
      </w:r>
    </w:p>
    <w:p w:rsidR="00831F2B" w:rsidRPr="00831F2B" w:rsidRDefault="00831F2B" w:rsidP="00831F2B">
      <w:pPr>
        <w:pStyle w:val="Textoindependiente"/>
        <w:widowControl w:val="0"/>
        <w:suppressAutoHyphens/>
        <w:ind w:left="567"/>
        <w:rPr>
          <w:rFonts w:ascii="Tahoma" w:hAnsi="Tahoma" w:cs="Tahoma"/>
          <w:sz w:val="20"/>
          <w:szCs w:val="20"/>
        </w:rPr>
      </w:pPr>
    </w:p>
    <w:p w:rsidR="00831F2B" w:rsidRPr="00831F2B" w:rsidRDefault="00831F2B" w:rsidP="00831F2B">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831F2B">
        <w:rPr>
          <w:rFonts w:ascii="Tahoma" w:hAnsi="Tahoma" w:cs="Tahoma"/>
          <w:sz w:val="20"/>
          <w:szCs w:val="20"/>
        </w:rPr>
        <w:t>En el caso de autos, la empresa ASESORIA COMERCIAL S.A. (ACOSA) ha interpuesto recurso de reconsideración contra la Resolución № 575-2011-TC-S1 de fecha 31 de marzo de 2011, mediante la cual el Tribunal le impuso sanción administrativa de inhabilitación temporal en sus derechos para participar en procesos de selección y contratar con el Estado, por el periodo de catorce (12) meses, al haberse determinado su responsabilidad en la comisión de la infracción tipificada en el  literal a) del inciso 1 del artículo 237 del Reglamento de la Ley de Contrataciones del Estado</w:t>
      </w:r>
      <w:r w:rsidRPr="00831F2B">
        <w:rPr>
          <w:rStyle w:val="Refdenotaalpie"/>
          <w:rFonts w:ascii="Tahoma" w:eastAsia="Calibri" w:hAnsi="Tahoma" w:cs="Tahoma"/>
          <w:sz w:val="20"/>
          <w:szCs w:val="20"/>
        </w:rPr>
        <w:footnoteReference w:id="3"/>
      </w:r>
      <w:r w:rsidRPr="00831F2B">
        <w:rPr>
          <w:rFonts w:ascii="Tahoma" w:hAnsi="Tahoma" w:cs="Tahoma"/>
          <w:sz w:val="20"/>
          <w:szCs w:val="20"/>
        </w:rPr>
        <w:t>.</w:t>
      </w:r>
    </w:p>
    <w:p w:rsidR="00831F2B" w:rsidRPr="00831F2B" w:rsidRDefault="00831F2B" w:rsidP="00831F2B">
      <w:pPr>
        <w:pStyle w:val="Prrafodelista"/>
        <w:ind w:left="1134"/>
        <w:rPr>
          <w:rFonts w:ascii="Tahoma" w:hAnsi="Tahoma" w:cs="Tahoma"/>
          <w:sz w:val="20"/>
          <w:szCs w:val="20"/>
        </w:rPr>
      </w:pPr>
    </w:p>
    <w:p w:rsidR="00831F2B" w:rsidRPr="00831F2B" w:rsidRDefault="00831F2B" w:rsidP="00831F2B">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831F2B">
        <w:rPr>
          <w:rFonts w:ascii="Tahoma" w:hAnsi="Tahoma" w:cs="Tahoma"/>
          <w:sz w:val="20"/>
          <w:szCs w:val="20"/>
        </w:rPr>
        <w:t>Previamente este Colegiado debe analizar si el recurso materia de análisis ha sido interpuesto oportunamente, es decir dentro del plazo señalado expresamente en la normativa precitada.</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831F2B">
        <w:rPr>
          <w:rFonts w:ascii="Tahoma" w:hAnsi="Tahoma" w:cs="Tahoma"/>
          <w:sz w:val="20"/>
          <w:szCs w:val="20"/>
        </w:rPr>
        <w:t>En el presente caso, se ha verificado que la Resolución № 575-2011-TC-S1 fue notificada al Postor el 04 de abril de 2011 y el recurso de reconsideración fue ingresado a la Mesa de Partes del Tribunal el 11 del mismo mes y año, por lo que dicho recurso interpuesto por el impugnante se realizó dentro del plazo previsto en el artículo 249 del Reglamento de la Ley de Contrataciones del Estado aprobado mediante Decreto Supremo № 184-2008-EF, en adelante el Reglamento.</w:t>
      </w:r>
    </w:p>
    <w:p w:rsidR="00831F2B" w:rsidRPr="00831F2B" w:rsidRDefault="00831F2B" w:rsidP="00831F2B">
      <w:pPr>
        <w:pStyle w:val="Prrafodelista"/>
        <w:ind w:left="1134"/>
        <w:rPr>
          <w:rFonts w:ascii="Tahoma" w:hAnsi="Tahoma" w:cs="Tahoma"/>
          <w:sz w:val="20"/>
          <w:szCs w:val="20"/>
        </w:rPr>
      </w:pPr>
    </w:p>
    <w:p w:rsidR="00831F2B" w:rsidRPr="00831F2B" w:rsidRDefault="00831F2B" w:rsidP="00831F2B">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831F2B">
        <w:rPr>
          <w:rFonts w:ascii="Tahoma" w:hAnsi="Tahoma" w:cs="Tahoma"/>
          <w:sz w:val="20"/>
          <w:szCs w:val="20"/>
        </w:rPr>
        <w:t>Ahora bien, en el presente recurso de reconsideración, el Postor ha fundamentado su recurso de reconsideración bajo los siguientes argumentos:</w:t>
      </w:r>
    </w:p>
    <w:p w:rsidR="00831F2B" w:rsidRPr="00831F2B" w:rsidRDefault="00831F2B" w:rsidP="00831F2B">
      <w:pPr>
        <w:pStyle w:val="Prrafodelista"/>
        <w:ind w:left="1276" w:hanging="425"/>
        <w:rPr>
          <w:rFonts w:ascii="Tahoma" w:hAnsi="Tahoma" w:cs="Tahoma"/>
          <w:sz w:val="20"/>
          <w:szCs w:val="20"/>
          <w:lang w:val="es-PE"/>
        </w:rPr>
      </w:pPr>
    </w:p>
    <w:p w:rsidR="00831F2B" w:rsidRPr="00831F2B" w:rsidRDefault="00831F2B" w:rsidP="00831F2B">
      <w:pPr>
        <w:pStyle w:val="Prrafodelista"/>
        <w:numPr>
          <w:ilvl w:val="0"/>
          <w:numId w:val="26"/>
        </w:numPr>
        <w:tabs>
          <w:tab w:val="left" w:pos="426"/>
        </w:tabs>
        <w:ind w:left="1276" w:hanging="425"/>
        <w:jc w:val="both"/>
        <w:rPr>
          <w:rFonts w:ascii="Tahoma" w:hAnsi="Tahoma" w:cs="Tahoma"/>
          <w:sz w:val="20"/>
          <w:szCs w:val="20"/>
        </w:rPr>
      </w:pPr>
      <w:r w:rsidRPr="00831F2B">
        <w:rPr>
          <w:rFonts w:ascii="Tahoma" w:hAnsi="Tahoma" w:cs="Tahoma"/>
          <w:sz w:val="20"/>
          <w:szCs w:val="20"/>
        </w:rPr>
        <w:t>En el presente caso, la Entidad no ha cumplido con el procedimiento descrito en el artículo 148 del Reglamento, toda vez que con Oficio № 288-2010-PCM/OAA de fecha 13 de septiembre de 2010, se indicó que deberíamos de presentar cierta documentación para la suscripción del contrato, pero no se señaló cuando se suscribiría el mismo.  (sic)</w:t>
      </w:r>
    </w:p>
    <w:p w:rsidR="00831F2B" w:rsidRPr="00831F2B" w:rsidRDefault="00831F2B" w:rsidP="00831F2B">
      <w:pPr>
        <w:rPr>
          <w:rFonts w:ascii="Tahoma" w:hAnsi="Tahoma" w:cs="Tahoma"/>
          <w:sz w:val="20"/>
          <w:szCs w:val="20"/>
        </w:rPr>
      </w:pPr>
    </w:p>
    <w:p w:rsidR="00831F2B" w:rsidRPr="00831F2B" w:rsidRDefault="00831F2B" w:rsidP="00831F2B">
      <w:pPr>
        <w:pStyle w:val="Prrafodelista"/>
        <w:numPr>
          <w:ilvl w:val="0"/>
          <w:numId w:val="26"/>
        </w:numPr>
        <w:tabs>
          <w:tab w:val="left" w:pos="426"/>
        </w:tabs>
        <w:ind w:left="1276" w:hanging="425"/>
        <w:jc w:val="both"/>
        <w:rPr>
          <w:rFonts w:ascii="Tahoma" w:hAnsi="Tahoma" w:cs="Tahoma"/>
          <w:sz w:val="20"/>
          <w:szCs w:val="20"/>
        </w:rPr>
      </w:pPr>
      <w:r w:rsidRPr="00831F2B">
        <w:rPr>
          <w:rFonts w:ascii="Tahoma" w:hAnsi="Tahoma" w:cs="Tahoma"/>
          <w:sz w:val="20"/>
          <w:szCs w:val="20"/>
        </w:rPr>
        <w:t>Dicha omisión por parte de la Entidad, invalida el procedimiento de suscripción del contrato y conforme a los lineamientos que se señalan en los numerales 4, 5 y 6 de la resolución impugnada, la no suscripción no resulta imputable a mi representada. (sic)</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Prrafodelista"/>
        <w:numPr>
          <w:ilvl w:val="0"/>
          <w:numId w:val="26"/>
        </w:numPr>
        <w:tabs>
          <w:tab w:val="left" w:pos="426"/>
        </w:tabs>
        <w:ind w:left="1276" w:hanging="425"/>
        <w:jc w:val="both"/>
        <w:rPr>
          <w:rFonts w:ascii="Tahoma" w:hAnsi="Tahoma" w:cs="Tahoma"/>
          <w:sz w:val="20"/>
          <w:szCs w:val="20"/>
        </w:rPr>
      </w:pPr>
      <w:r w:rsidRPr="00831F2B">
        <w:rPr>
          <w:rFonts w:ascii="Tahoma" w:hAnsi="Tahoma" w:cs="Tahoma"/>
          <w:color w:val="000000"/>
          <w:sz w:val="20"/>
          <w:szCs w:val="20"/>
        </w:rPr>
        <w:lastRenderedPageBreak/>
        <w:t>Por otro lado, los documentos solicitados por la Entidad para la suscripción del contrato existían y eran válidos desde el día que se nos requirió su presentación, el 15 de septiembre de 2010. Ello, teniendo en consideración que conforme al artículo 148 del Reglamento, el término de la presentación es de 5 a 10 días hábiles desde el requerimiento, siendo que nuestra aérea administrativa tenía listo los documentos solicitados, en el plazo máximo, cuya fecha vencía el 22 de septiembre de 2010.  (sic)</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Prrafodelista"/>
        <w:numPr>
          <w:ilvl w:val="0"/>
          <w:numId w:val="26"/>
        </w:numPr>
        <w:tabs>
          <w:tab w:val="left" w:pos="426"/>
        </w:tabs>
        <w:ind w:left="1276" w:hanging="425"/>
        <w:jc w:val="both"/>
        <w:rPr>
          <w:rFonts w:ascii="Tahoma" w:hAnsi="Tahoma" w:cs="Tahoma"/>
          <w:sz w:val="20"/>
          <w:szCs w:val="20"/>
        </w:rPr>
      </w:pPr>
      <w:r w:rsidRPr="00831F2B">
        <w:rPr>
          <w:rFonts w:ascii="Tahoma" w:hAnsi="Tahoma" w:cs="Tahoma"/>
          <w:sz w:val="20"/>
          <w:szCs w:val="20"/>
        </w:rPr>
        <w:t>Así, pues, el 22 de septiembre de 2010, mi representada se apersono a entregar los documentos solicitados, sin embargo al momento de dejar los documentos, el empleado de la empresa se encontró con una manifestación en la puerta de la Entidad, lo cual le impidió acceso a la misma , no obstante ello, y entendiéndose que él término para presentarlos era de 5 a 10 días, ya que no tenía conocimiento de las Bases, simplemente decidió no dejar los documentos y regresar al adía siguiente para presentarlos. (sic)</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Prrafodelista"/>
        <w:numPr>
          <w:ilvl w:val="0"/>
          <w:numId w:val="26"/>
        </w:numPr>
        <w:tabs>
          <w:tab w:val="left" w:pos="426"/>
        </w:tabs>
        <w:ind w:left="1276" w:hanging="425"/>
        <w:jc w:val="both"/>
        <w:rPr>
          <w:rFonts w:ascii="Tahoma" w:hAnsi="Tahoma" w:cs="Tahoma"/>
          <w:sz w:val="20"/>
          <w:szCs w:val="20"/>
        </w:rPr>
      </w:pPr>
      <w:r w:rsidRPr="00831F2B">
        <w:rPr>
          <w:rFonts w:ascii="Tahoma" w:hAnsi="Tahoma" w:cs="Tahoma"/>
          <w:color w:val="000000"/>
          <w:sz w:val="20"/>
          <w:szCs w:val="20"/>
        </w:rPr>
        <w:t xml:space="preserve">Entendemos que ello ha sido un craso error de nuestro empleado, sin embargo, ello denota la ausencia de culpabilidad de mi representada, por lo que creemos que no se configura la causal imputada, por lo que, solicitamos al Tribunal </w:t>
      </w:r>
      <w:r w:rsidRPr="00831F2B">
        <w:rPr>
          <w:rFonts w:ascii="Tahoma" w:hAnsi="Tahoma" w:cs="Tahoma"/>
          <w:sz w:val="20"/>
          <w:szCs w:val="20"/>
        </w:rPr>
        <w:t>declare fundado el presente recurso de reconsideración, o de ser caso, se modifique la sanción de catorce (14) meses. (sic)</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Prrafodelista"/>
        <w:numPr>
          <w:ilvl w:val="0"/>
          <w:numId w:val="26"/>
        </w:numPr>
        <w:tabs>
          <w:tab w:val="left" w:pos="426"/>
        </w:tabs>
        <w:ind w:left="1276" w:hanging="425"/>
        <w:jc w:val="both"/>
        <w:rPr>
          <w:rFonts w:ascii="Tahoma" w:hAnsi="Tahoma" w:cs="Tahoma"/>
          <w:sz w:val="20"/>
          <w:szCs w:val="20"/>
        </w:rPr>
      </w:pPr>
      <w:r w:rsidRPr="00831F2B">
        <w:rPr>
          <w:rFonts w:ascii="Tahoma" w:hAnsi="Tahoma" w:cs="Tahoma"/>
          <w:sz w:val="20"/>
          <w:szCs w:val="20"/>
        </w:rPr>
        <w:t>Finalmente solicitó uso de la palabra.</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Prrafodelista"/>
        <w:numPr>
          <w:ilvl w:val="0"/>
          <w:numId w:val="5"/>
        </w:numPr>
        <w:tabs>
          <w:tab w:val="clear" w:pos="720"/>
          <w:tab w:val="num" w:pos="567"/>
          <w:tab w:val="left" w:pos="4320"/>
        </w:tabs>
        <w:ind w:left="567" w:hanging="567"/>
        <w:contextualSpacing w:val="0"/>
        <w:jc w:val="both"/>
        <w:rPr>
          <w:rFonts w:ascii="Tahoma" w:hAnsi="Tahoma" w:cs="Tahoma"/>
          <w:sz w:val="20"/>
          <w:szCs w:val="20"/>
        </w:rPr>
      </w:pPr>
      <w:r w:rsidRPr="00831F2B">
        <w:rPr>
          <w:rFonts w:ascii="Tahoma" w:hAnsi="Tahoma" w:cs="Tahoma"/>
          <w:sz w:val="20"/>
          <w:szCs w:val="20"/>
        </w:rPr>
        <w:t>De manera previa al análisis de los argumentos vertidos por el Postor en el presente recurso impugnativo, cabe mencionar que la causal imputada le es atribuible a aquel postor que, habiendo sido favorecido con el otorgamiento de la Buena Pro, se niegue u omita suscribir el contrato, sea porque no se presente para dicho propósito en la fecha correspondiente o bien porque no cumpla con presentar los documentos indispensables para tal fin.</w:t>
      </w:r>
    </w:p>
    <w:p w:rsidR="00831F2B" w:rsidRPr="00831F2B" w:rsidRDefault="00831F2B" w:rsidP="00831F2B">
      <w:pPr>
        <w:tabs>
          <w:tab w:val="left" w:pos="4320"/>
        </w:tabs>
        <w:ind w:left="567"/>
        <w:rPr>
          <w:rFonts w:ascii="Tahoma" w:hAnsi="Tahoma" w:cs="Tahoma"/>
          <w:sz w:val="20"/>
          <w:szCs w:val="20"/>
        </w:rPr>
      </w:pPr>
    </w:p>
    <w:p w:rsidR="00831F2B" w:rsidRPr="00831F2B" w:rsidRDefault="00831F2B" w:rsidP="00831F2B">
      <w:pPr>
        <w:ind w:left="567"/>
        <w:jc w:val="both"/>
        <w:rPr>
          <w:rFonts w:ascii="Tahoma" w:hAnsi="Tahoma" w:cs="Tahoma"/>
          <w:sz w:val="20"/>
          <w:szCs w:val="20"/>
          <w:shd w:val="clear" w:color="auto" w:fill="FFFFFF"/>
        </w:rPr>
      </w:pPr>
      <w:r w:rsidRPr="00831F2B">
        <w:rPr>
          <w:rFonts w:ascii="Tahoma" w:hAnsi="Tahoma" w:cs="Tahoma"/>
          <w:sz w:val="20"/>
          <w:szCs w:val="20"/>
          <w:shd w:val="clear" w:color="auto" w:fill="FFFFFF"/>
        </w:rPr>
        <w:t>En razón a ello, el Tribunal determinó –en la resolución impugnada– que el Postor, no tomó la debida diligencia ni las precauciones del caso para recabar la documentación necesaria para la firma del respectivo contrato dentro del plazo estipulado y que por lo tanto éste no acreditó ninguna causa justificante para la no suscripción del contrato, ni existía una demostración convincente y clara que ello haya sido producto de una imposibilidad física o jurídica sobrevenida al otorgamiento de la Buena pro, por lo que se concluyó que la no suscripción del contrato había sido responsabilidad del Postor.</w:t>
      </w:r>
    </w:p>
    <w:p w:rsidR="00831F2B" w:rsidRPr="00831F2B" w:rsidRDefault="00831F2B" w:rsidP="00831F2B">
      <w:pPr>
        <w:pStyle w:val="Prrafodelista"/>
        <w:ind w:left="567"/>
        <w:jc w:val="both"/>
        <w:rPr>
          <w:rFonts w:ascii="Tahoma" w:hAnsi="Tahoma" w:cs="Tahoma"/>
          <w:sz w:val="20"/>
          <w:szCs w:val="20"/>
        </w:rPr>
      </w:pPr>
    </w:p>
    <w:p w:rsidR="00831F2B" w:rsidRPr="00831F2B" w:rsidRDefault="00831F2B" w:rsidP="00831F2B">
      <w:pPr>
        <w:pStyle w:val="Textoindependiente"/>
        <w:ind w:left="567"/>
        <w:jc w:val="both"/>
        <w:rPr>
          <w:rFonts w:ascii="Tahoma" w:hAnsi="Tahoma" w:cs="Tahoma"/>
          <w:sz w:val="20"/>
          <w:szCs w:val="20"/>
        </w:rPr>
      </w:pPr>
      <w:r w:rsidRPr="00831F2B">
        <w:rPr>
          <w:rFonts w:ascii="Tahoma" w:hAnsi="Tahoma" w:cs="Tahoma"/>
          <w:sz w:val="20"/>
          <w:szCs w:val="20"/>
        </w:rPr>
        <w:t xml:space="preserve">De esta manera, la sanción impuesta contra el Postor buscó cautelar la diligencia y seriedad con que éste debió actuar dentro del marco de la normativa de la materia, puesto que cada postor asume la responsabilidad de su propia participación en un proceso de selección y está en la obligación de presentarse con los documentos requeridos a la firma del contrato dentro del plazo previsto y sin mayores inconvenientes ni dilaciones, con los objetivos que se hubiera propuesto la Entidad al convocar el proceso de selección. </w:t>
      </w:r>
    </w:p>
    <w:p w:rsidR="00831F2B" w:rsidRPr="00831F2B" w:rsidRDefault="00831F2B" w:rsidP="00831F2B">
      <w:pPr>
        <w:pStyle w:val="Prrafodelista"/>
        <w:ind w:left="567"/>
        <w:rPr>
          <w:rFonts w:ascii="Tahoma" w:hAnsi="Tahoma" w:cs="Tahoma"/>
          <w:sz w:val="20"/>
          <w:szCs w:val="20"/>
          <w:lang w:val="es-PE"/>
        </w:rPr>
      </w:pPr>
    </w:p>
    <w:p w:rsidR="00831F2B" w:rsidRPr="00831F2B" w:rsidRDefault="00831F2B" w:rsidP="00831F2B">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831F2B">
        <w:rPr>
          <w:rFonts w:ascii="Tahoma" w:hAnsi="Tahoma" w:cs="Tahoma"/>
          <w:sz w:val="20"/>
          <w:szCs w:val="20"/>
        </w:rPr>
        <w:lastRenderedPageBreak/>
        <w:t>Hechas tales precisiones, corresponde evaluar los argumentos vertidos en la impugnación venida en grado, y emitir pronunciamiento respecto de cada uno de los cuestionamientos planteados en el recurso que nos ocupa</w:t>
      </w:r>
      <w:r w:rsidRPr="00831F2B">
        <w:rPr>
          <w:rStyle w:val="Refdenotaalpie"/>
          <w:rFonts w:ascii="Tahoma" w:hAnsi="Tahoma" w:cs="Tahoma"/>
          <w:sz w:val="20"/>
          <w:szCs w:val="20"/>
        </w:rPr>
        <w:footnoteReference w:id="4"/>
      </w:r>
      <w:r w:rsidRPr="00831F2B">
        <w:rPr>
          <w:rFonts w:ascii="Tahoma" w:hAnsi="Tahoma" w:cs="Tahoma"/>
          <w:sz w:val="20"/>
          <w:szCs w:val="20"/>
        </w:rPr>
        <w:t xml:space="preserve"> y verificar si se ha aportado nuevos elementos de juicio que permitan al Tribunal modificar la decisión que adoptó en la resolución recurrida</w:t>
      </w:r>
      <w:r w:rsidRPr="00831F2B">
        <w:rPr>
          <w:rStyle w:val="Refdenotaalpie"/>
          <w:rFonts w:ascii="Tahoma" w:hAnsi="Tahoma" w:cs="Tahoma"/>
          <w:sz w:val="20"/>
          <w:szCs w:val="20"/>
        </w:rPr>
        <w:footnoteReference w:id="5"/>
      </w:r>
      <w:r w:rsidRPr="00831F2B">
        <w:rPr>
          <w:rFonts w:ascii="Tahoma" w:hAnsi="Tahoma" w:cs="Tahoma"/>
          <w:sz w:val="20"/>
          <w:szCs w:val="20"/>
        </w:rPr>
        <w:t xml:space="preserve">. </w:t>
      </w:r>
    </w:p>
    <w:p w:rsidR="00831F2B" w:rsidRPr="00831F2B" w:rsidRDefault="00831F2B" w:rsidP="00831F2B">
      <w:pPr>
        <w:pStyle w:val="Prrafodelista"/>
        <w:ind w:left="567"/>
        <w:rPr>
          <w:rFonts w:ascii="Tahoma" w:hAnsi="Tahoma" w:cs="Tahoma"/>
          <w:sz w:val="20"/>
          <w:szCs w:val="20"/>
        </w:rPr>
      </w:pPr>
    </w:p>
    <w:p w:rsidR="00831F2B" w:rsidRPr="00831F2B" w:rsidRDefault="00831F2B" w:rsidP="00831F2B">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831F2B">
        <w:rPr>
          <w:rFonts w:ascii="Tahoma" w:hAnsi="Tahoma" w:cs="Tahoma"/>
          <w:sz w:val="20"/>
          <w:szCs w:val="20"/>
        </w:rPr>
        <w:t xml:space="preserve">Ahora bien, respecto a lo alegado por el Postor en los </w:t>
      </w:r>
      <w:r w:rsidRPr="00831F2B">
        <w:rPr>
          <w:rFonts w:ascii="Tahoma" w:hAnsi="Tahoma" w:cs="Tahoma"/>
          <w:b/>
          <w:sz w:val="20"/>
          <w:szCs w:val="20"/>
        </w:rPr>
        <w:t xml:space="preserve">literales a) y b) </w:t>
      </w:r>
      <w:r w:rsidRPr="00831F2B">
        <w:rPr>
          <w:rFonts w:ascii="Tahoma" w:hAnsi="Tahoma" w:cs="Tahoma"/>
          <w:sz w:val="20"/>
          <w:szCs w:val="20"/>
        </w:rPr>
        <w:t>del Numeral 6 de la presente Fundamentación, éste sostiene, que la Entidad no habría satisfecho el procedimiento formal previsto para la suscripción del contrato,</w:t>
      </w:r>
      <w:r w:rsidRPr="00831F2B">
        <w:rPr>
          <w:rFonts w:ascii="Tahoma" w:hAnsi="Tahoma" w:cs="Tahoma"/>
          <w:sz w:val="20"/>
          <w:szCs w:val="20"/>
          <w:lang w:val="es-PE"/>
        </w:rPr>
        <w:t xml:space="preserve"> toda vez que del </w:t>
      </w:r>
      <w:r w:rsidRPr="00831F2B">
        <w:rPr>
          <w:rFonts w:ascii="Tahoma" w:hAnsi="Tahoma" w:cs="Tahoma"/>
          <w:sz w:val="20"/>
          <w:szCs w:val="20"/>
        </w:rPr>
        <w:t xml:space="preserve">Oficio № 288-2010-PCM/OAA </w:t>
      </w:r>
      <w:r w:rsidRPr="00831F2B">
        <w:rPr>
          <w:rFonts w:ascii="Tahoma" w:hAnsi="Tahoma" w:cs="Tahoma"/>
          <w:sz w:val="20"/>
          <w:szCs w:val="20"/>
          <w:lang w:val="es-PE"/>
        </w:rPr>
        <w:t>no se desprende citación alguna para la suscripción del contrato, contraviniendo por tanto el artículo 148 del Reglamento.</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831F2B">
        <w:rPr>
          <w:rFonts w:ascii="Tahoma" w:hAnsi="Tahoma" w:cs="Tahoma"/>
          <w:sz w:val="20"/>
          <w:szCs w:val="20"/>
        </w:rPr>
        <w:t>Sobre el particular, de la revisión de la comunicación antes citada se aprecia que la Entidad señaló textualmente lo siguiente:</w:t>
      </w:r>
    </w:p>
    <w:p w:rsidR="00831F2B" w:rsidRPr="00831F2B" w:rsidRDefault="008D0CBB" w:rsidP="00831F2B">
      <w:pPr>
        <w:pStyle w:val="Prrafodelista"/>
        <w:ind w:left="567"/>
        <w:rPr>
          <w:rFonts w:ascii="Tahoma" w:hAnsi="Tahoma" w:cs="Tahoma"/>
          <w:sz w:val="20"/>
          <w:szCs w:val="20"/>
        </w:rPr>
      </w:pPr>
      <w:r w:rsidRPr="008D0CBB">
        <w:rPr>
          <w:rFonts w:ascii="Tahoma" w:hAnsi="Tahoma" w:cs="Tahoma"/>
          <w:noProof/>
          <w:sz w:val="20"/>
          <w:szCs w:val="20"/>
          <w:lang w:val="es-ES_tradnl" w:eastAsia="en-US"/>
        </w:rPr>
        <w:pict>
          <v:rect id="_x0000_s1026" style="position:absolute;left:0;text-align:left;margin-left:61.2pt;margin-top:8.85pt;width:327pt;height:253.75pt;z-index:251660288">
            <v:textbox style="mso-next-textbox:#_x0000_s1026">
              <w:txbxContent>
                <w:p w:rsidR="00831F2B" w:rsidRPr="00282C73" w:rsidRDefault="00831F2B" w:rsidP="00831F2B">
                  <w:pPr>
                    <w:pStyle w:val="Sinespaciado"/>
                    <w:jc w:val="both"/>
                    <w:rPr>
                      <w:rFonts w:ascii="Tahoma" w:hAnsi="Tahoma" w:cs="Tahoma"/>
                      <w:b/>
                      <w:sz w:val="18"/>
                      <w:szCs w:val="18"/>
                    </w:rPr>
                  </w:pPr>
                  <w:r w:rsidRPr="00282C73">
                    <w:rPr>
                      <w:rFonts w:ascii="Tahoma" w:hAnsi="Tahoma" w:cs="Tahoma"/>
                      <w:b/>
                      <w:sz w:val="18"/>
                      <w:szCs w:val="18"/>
                    </w:rPr>
                    <w:t xml:space="preserve">Oficio № 288-2010-PCM/OAA </w:t>
                  </w:r>
                </w:p>
                <w:p w:rsidR="00831F2B" w:rsidRPr="00D576EF" w:rsidRDefault="00831F2B" w:rsidP="00831F2B">
                  <w:pPr>
                    <w:pStyle w:val="Sinespaciado"/>
                    <w:jc w:val="both"/>
                    <w:rPr>
                      <w:rFonts w:ascii="Tahoma" w:hAnsi="Tahoma" w:cs="Tahoma"/>
                      <w:sz w:val="18"/>
                      <w:szCs w:val="18"/>
                    </w:rPr>
                  </w:pPr>
                </w:p>
                <w:p w:rsidR="00831F2B" w:rsidRPr="00D576EF" w:rsidRDefault="00831F2B" w:rsidP="00831F2B">
                  <w:pPr>
                    <w:pStyle w:val="Sinespaciado"/>
                    <w:jc w:val="both"/>
                    <w:rPr>
                      <w:rFonts w:ascii="Tahoma" w:hAnsi="Tahoma" w:cs="Tahoma"/>
                      <w:sz w:val="18"/>
                      <w:szCs w:val="18"/>
                    </w:rPr>
                  </w:pPr>
                  <w:r w:rsidRPr="00D576EF">
                    <w:rPr>
                      <w:rFonts w:ascii="Tahoma" w:hAnsi="Tahoma" w:cs="Tahoma"/>
                      <w:sz w:val="18"/>
                      <w:szCs w:val="18"/>
                    </w:rPr>
                    <w:t xml:space="preserve">Señores </w:t>
                  </w:r>
                </w:p>
                <w:p w:rsidR="00831F2B" w:rsidRPr="00D576EF" w:rsidRDefault="00831F2B" w:rsidP="00831F2B">
                  <w:pPr>
                    <w:pStyle w:val="Sinespaciado"/>
                    <w:jc w:val="both"/>
                    <w:rPr>
                      <w:rFonts w:ascii="Tahoma" w:hAnsi="Tahoma" w:cs="Tahoma"/>
                      <w:b/>
                      <w:sz w:val="18"/>
                      <w:szCs w:val="18"/>
                    </w:rPr>
                  </w:pPr>
                  <w:r w:rsidRPr="00D576EF">
                    <w:rPr>
                      <w:rFonts w:ascii="Tahoma" w:hAnsi="Tahoma" w:cs="Tahoma"/>
                      <w:b/>
                      <w:sz w:val="18"/>
                      <w:szCs w:val="18"/>
                    </w:rPr>
                    <w:t>ASESORIA COMERCIAL S.A. - ACOSA</w:t>
                  </w:r>
                </w:p>
                <w:p w:rsidR="00831F2B" w:rsidRPr="00D576EF" w:rsidRDefault="00831F2B" w:rsidP="00831F2B">
                  <w:pPr>
                    <w:pStyle w:val="Sinespaciado"/>
                    <w:jc w:val="both"/>
                    <w:rPr>
                      <w:rFonts w:ascii="Tahoma" w:hAnsi="Tahoma" w:cs="Tahoma"/>
                      <w:sz w:val="18"/>
                      <w:szCs w:val="18"/>
                    </w:rPr>
                  </w:pPr>
                </w:p>
                <w:p w:rsidR="00831F2B" w:rsidRPr="00D576EF" w:rsidRDefault="00831F2B" w:rsidP="00831F2B">
                  <w:pPr>
                    <w:pStyle w:val="Sinespaciado"/>
                    <w:jc w:val="both"/>
                    <w:rPr>
                      <w:rFonts w:ascii="Tahoma" w:hAnsi="Tahoma" w:cs="Tahoma"/>
                      <w:sz w:val="18"/>
                      <w:szCs w:val="18"/>
                    </w:rPr>
                  </w:pPr>
                  <w:r w:rsidRPr="00D576EF">
                    <w:rPr>
                      <w:rFonts w:ascii="Tahoma" w:hAnsi="Tahoma" w:cs="Tahoma"/>
                      <w:sz w:val="18"/>
                      <w:szCs w:val="18"/>
                    </w:rPr>
                    <w:t>Es grato dirigirme a usted,  a fin de comunicarle que habiéndose consentido el otorgamiento de la Buena Pro, de la Adjudicación de Menor Cuantía № 024-2010-PCM (…)</w:t>
                  </w:r>
                </w:p>
                <w:p w:rsidR="00831F2B" w:rsidRPr="00D576EF" w:rsidRDefault="00831F2B" w:rsidP="00831F2B">
                  <w:pPr>
                    <w:pStyle w:val="Sinespaciado"/>
                    <w:jc w:val="both"/>
                    <w:rPr>
                      <w:rFonts w:ascii="Tahoma" w:hAnsi="Tahoma" w:cs="Tahoma"/>
                      <w:sz w:val="18"/>
                      <w:szCs w:val="18"/>
                    </w:rPr>
                  </w:pPr>
                </w:p>
                <w:p w:rsidR="00831F2B" w:rsidRPr="000408C6" w:rsidRDefault="00831F2B" w:rsidP="00831F2B">
                  <w:pPr>
                    <w:pStyle w:val="Sinespaciado"/>
                    <w:jc w:val="both"/>
                    <w:rPr>
                      <w:rFonts w:ascii="Tahoma" w:hAnsi="Tahoma" w:cs="Tahoma"/>
                      <w:sz w:val="18"/>
                      <w:szCs w:val="18"/>
                    </w:rPr>
                  </w:pPr>
                  <w:r w:rsidRPr="00D576EF">
                    <w:rPr>
                      <w:rFonts w:ascii="Tahoma" w:hAnsi="Tahoma" w:cs="Tahoma"/>
                      <w:sz w:val="18"/>
                      <w:szCs w:val="18"/>
                    </w:rPr>
                    <w:t xml:space="preserve">Al respecto, de acuerdo al plazo establecido en las Bases del precitado proceso, </w:t>
                  </w:r>
                  <w:r w:rsidRPr="00282C73">
                    <w:rPr>
                      <w:rFonts w:ascii="Tahoma" w:hAnsi="Tahoma" w:cs="Tahoma"/>
                      <w:b/>
                      <w:sz w:val="18"/>
                      <w:szCs w:val="18"/>
                    </w:rPr>
                    <w:t>deberá presentar en el plazo de cinco (05) días hábiles</w:t>
                  </w:r>
                  <w:r w:rsidRPr="00D576EF">
                    <w:rPr>
                      <w:rFonts w:ascii="Tahoma" w:hAnsi="Tahoma" w:cs="Tahoma"/>
                      <w:sz w:val="18"/>
                      <w:szCs w:val="18"/>
                    </w:rPr>
                    <w:t xml:space="preserve">, en nuestras oficinas, ubicadas en el Piso 6 del Edificio en la Av. Canaval Moreyra № 150, San Isidro (Edificio de Petroperú) </w:t>
                  </w:r>
                  <w:r w:rsidRPr="000408C6">
                    <w:rPr>
                      <w:rFonts w:ascii="Tahoma" w:hAnsi="Tahoma" w:cs="Tahoma"/>
                      <w:sz w:val="18"/>
                      <w:szCs w:val="18"/>
                    </w:rPr>
                    <w:t xml:space="preserve">la documentación siguiente </w:t>
                  </w:r>
                  <w:r w:rsidRPr="000408C6">
                    <w:rPr>
                      <w:rFonts w:ascii="Tahoma" w:hAnsi="Tahoma" w:cs="Tahoma"/>
                      <w:b/>
                      <w:sz w:val="18"/>
                      <w:szCs w:val="18"/>
                    </w:rPr>
                    <w:t>para la suscripción del contrato</w:t>
                  </w:r>
                  <w:r w:rsidRPr="000408C6">
                    <w:rPr>
                      <w:rFonts w:ascii="Tahoma" w:hAnsi="Tahoma" w:cs="Tahoma"/>
                      <w:sz w:val="18"/>
                      <w:szCs w:val="18"/>
                    </w:rPr>
                    <w:t>:</w:t>
                  </w:r>
                </w:p>
                <w:p w:rsidR="00831F2B" w:rsidRPr="00D576EF" w:rsidRDefault="00831F2B" w:rsidP="00831F2B">
                  <w:pPr>
                    <w:pStyle w:val="Sinespaciado"/>
                    <w:jc w:val="both"/>
                    <w:rPr>
                      <w:rFonts w:ascii="Tahoma" w:hAnsi="Tahoma" w:cs="Tahoma"/>
                      <w:sz w:val="18"/>
                      <w:szCs w:val="18"/>
                    </w:rPr>
                  </w:pPr>
                </w:p>
                <w:p w:rsidR="00831F2B" w:rsidRPr="00D576EF" w:rsidRDefault="00831F2B" w:rsidP="00831F2B">
                  <w:pPr>
                    <w:numPr>
                      <w:ilvl w:val="3"/>
                      <w:numId w:val="27"/>
                    </w:numPr>
                    <w:tabs>
                      <w:tab w:val="clear" w:pos="2880"/>
                      <w:tab w:val="num" w:pos="567"/>
                      <w:tab w:val="left" w:pos="993"/>
                    </w:tabs>
                    <w:ind w:left="567" w:hanging="425"/>
                    <w:jc w:val="both"/>
                    <w:rPr>
                      <w:rFonts w:cs="Tahoma"/>
                      <w:sz w:val="18"/>
                      <w:szCs w:val="18"/>
                    </w:rPr>
                  </w:pPr>
                  <w:r w:rsidRPr="00D576EF">
                    <w:rPr>
                      <w:rFonts w:cs="Tahoma"/>
                      <w:sz w:val="18"/>
                      <w:szCs w:val="18"/>
                    </w:rPr>
                    <w:t>Copia de DNI del Representante Legal;</w:t>
                  </w:r>
                </w:p>
                <w:p w:rsidR="00831F2B" w:rsidRDefault="00831F2B" w:rsidP="00831F2B">
                  <w:pPr>
                    <w:numPr>
                      <w:ilvl w:val="3"/>
                      <w:numId w:val="27"/>
                    </w:numPr>
                    <w:tabs>
                      <w:tab w:val="clear" w:pos="2880"/>
                      <w:tab w:val="num" w:pos="567"/>
                      <w:tab w:val="left" w:pos="993"/>
                    </w:tabs>
                    <w:ind w:left="567" w:hanging="425"/>
                    <w:jc w:val="both"/>
                    <w:rPr>
                      <w:rFonts w:cs="Tahoma"/>
                      <w:sz w:val="18"/>
                      <w:szCs w:val="18"/>
                    </w:rPr>
                  </w:pPr>
                  <w:r w:rsidRPr="00D576EF">
                    <w:rPr>
                      <w:rFonts w:cs="Tahoma"/>
                      <w:sz w:val="18"/>
                      <w:szCs w:val="18"/>
                    </w:rPr>
                    <w:t>Constancia vigente de no estar inhabilitado para contratar con el estado</w:t>
                  </w:r>
                </w:p>
                <w:p w:rsidR="00831F2B" w:rsidRDefault="00831F2B" w:rsidP="00831F2B">
                  <w:pPr>
                    <w:numPr>
                      <w:ilvl w:val="3"/>
                      <w:numId w:val="27"/>
                    </w:numPr>
                    <w:tabs>
                      <w:tab w:val="clear" w:pos="2880"/>
                      <w:tab w:val="num" w:pos="567"/>
                      <w:tab w:val="left" w:pos="993"/>
                    </w:tabs>
                    <w:ind w:left="567" w:hanging="425"/>
                    <w:jc w:val="both"/>
                    <w:rPr>
                      <w:rFonts w:cs="Tahoma"/>
                      <w:sz w:val="18"/>
                      <w:szCs w:val="18"/>
                    </w:rPr>
                  </w:pPr>
                  <w:r>
                    <w:rPr>
                      <w:rFonts w:cs="Tahoma"/>
                      <w:sz w:val="18"/>
                      <w:szCs w:val="18"/>
                    </w:rPr>
                    <w:t>(…)</w:t>
                  </w:r>
                </w:p>
                <w:p w:rsidR="00831F2B" w:rsidRPr="00D576EF" w:rsidRDefault="00831F2B" w:rsidP="00831F2B">
                  <w:pPr>
                    <w:numPr>
                      <w:ilvl w:val="3"/>
                      <w:numId w:val="27"/>
                    </w:numPr>
                    <w:tabs>
                      <w:tab w:val="clear" w:pos="2880"/>
                      <w:tab w:val="num" w:pos="567"/>
                      <w:tab w:val="left" w:pos="993"/>
                    </w:tabs>
                    <w:ind w:left="567" w:hanging="425"/>
                    <w:jc w:val="both"/>
                    <w:rPr>
                      <w:rFonts w:cs="Tahoma"/>
                      <w:sz w:val="18"/>
                      <w:szCs w:val="18"/>
                    </w:rPr>
                  </w:pPr>
                  <w:r>
                    <w:rPr>
                      <w:rFonts w:cs="Tahoma"/>
                      <w:sz w:val="18"/>
                      <w:szCs w:val="18"/>
                    </w:rPr>
                    <w:t xml:space="preserve">Entre otros </w:t>
                  </w:r>
                </w:p>
                <w:p w:rsidR="00831F2B" w:rsidRPr="00D576EF" w:rsidRDefault="00831F2B" w:rsidP="00831F2B">
                  <w:pPr>
                    <w:pStyle w:val="Sinespaciado"/>
                    <w:jc w:val="both"/>
                    <w:rPr>
                      <w:rFonts w:ascii="Tahoma" w:hAnsi="Tahoma" w:cs="Tahoma"/>
                      <w:sz w:val="18"/>
                      <w:szCs w:val="18"/>
                    </w:rPr>
                  </w:pPr>
                </w:p>
                <w:p w:rsidR="00831F2B" w:rsidRPr="00D576EF" w:rsidRDefault="00831F2B" w:rsidP="00831F2B">
                  <w:pPr>
                    <w:pStyle w:val="Sinespaciado"/>
                    <w:jc w:val="both"/>
                    <w:rPr>
                      <w:rFonts w:ascii="Tahoma" w:hAnsi="Tahoma" w:cs="Tahoma"/>
                      <w:sz w:val="18"/>
                      <w:szCs w:val="18"/>
                    </w:rPr>
                  </w:pPr>
                  <w:r w:rsidRPr="00D576EF">
                    <w:rPr>
                      <w:rFonts w:ascii="Tahoma" w:hAnsi="Tahoma" w:cs="Tahoma"/>
                      <w:sz w:val="18"/>
                      <w:szCs w:val="18"/>
                    </w:rPr>
                    <w:t>(sic)</w:t>
                  </w:r>
                  <w:r>
                    <w:rPr>
                      <w:rFonts w:ascii="Tahoma" w:hAnsi="Tahoma" w:cs="Tahoma"/>
                      <w:sz w:val="18"/>
                      <w:szCs w:val="18"/>
                    </w:rPr>
                    <w:t xml:space="preserve"> (El negrita es nuestro)</w:t>
                  </w:r>
                </w:p>
                <w:p w:rsidR="00831F2B" w:rsidRPr="00D576EF" w:rsidRDefault="00831F2B" w:rsidP="00831F2B">
                  <w:pPr>
                    <w:pStyle w:val="Sinespaciado"/>
                    <w:jc w:val="both"/>
                    <w:rPr>
                      <w:rFonts w:ascii="Tahoma" w:hAnsi="Tahoma" w:cs="Tahoma"/>
                      <w:sz w:val="18"/>
                      <w:szCs w:val="18"/>
                    </w:rPr>
                  </w:pPr>
                </w:p>
                <w:p w:rsidR="00831F2B" w:rsidRPr="00D576EF" w:rsidRDefault="00831F2B" w:rsidP="00831F2B">
                  <w:pPr>
                    <w:pStyle w:val="Sinespaciado"/>
                    <w:rPr>
                      <w:rFonts w:ascii="Tahoma" w:hAnsi="Tahoma" w:cs="Tahoma"/>
                      <w:b/>
                      <w:sz w:val="18"/>
                      <w:szCs w:val="18"/>
                    </w:rPr>
                  </w:pPr>
                </w:p>
                <w:p w:rsidR="00831F2B" w:rsidRPr="00D576EF" w:rsidRDefault="00831F2B" w:rsidP="00831F2B">
                  <w:pPr>
                    <w:pStyle w:val="Sinespaciado"/>
                    <w:rPr>
                      <w:rFonts w:ascii="Tahoma" w:hAnsi="Tahoma" w:cs="Tahoma"/>
                      <w:sz w:val="18"/>
                      <w:szCs w:val="18"/>
                    </w:rPr>
                  </w:pPr>
                </w:p>
              </w:txbxContent>
            </v:textbox>
          </v:rect>
        </w:pict>
      </w:r>
    </w:p>
    <w:p w:rsidR="00831F2B" w:rsidRPr="00831F2B" w:rsidRDefault="00831F2B" w:rsidP="00831F2B">
      <w:pPr>
        <w:pStyle w:val="Prrafodelista"/>
        <w:ind w:left="1276" w:hanging="556"/>
        <w:rPr>
          <w:rFonts w:ascii="Tahoma" w:hAnsi="Tahoma" w:cs="Tahoma"/>
          <w:sz w:val="20"/>
          <w:szCs w:val="20"/>
        </w:rPr>
      </w:pPr>
    </w:p>
    <w:p w:rsidR="00831F2B" w:rsidRPr="00831F2B" w:rsidRDefault="00831F2B" w:rsidP="00831F2B">
      <w:pPr>
        <w:pStyle w:val="Prrafodelista"/>
        <w:ind w:left="1276" w:hanging="556"/>
        <w:rPr>
          <w:rFonts w:ascii="Tahoma" w:hAnsi="Tahoma" w:cs="Tahoma"/>
          <w:sz w:val="20"/>
          <w:szCs w:val="20"/>
        </w:rPr>
      </w:pP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Prrafodelista"/>
        <w:rPr>
          <w:rFonts w:ascii="Tahoma" w:hAnsi="Tahoma" w:cs="Tahoma"/>
          <w:sz w:val="20"/>
          <w:szCs w:val="20"/>
        </w:rPr>
      </w:pPr>
    </w:p>
    <w:p w:rsidR="00831F2B" w:rsidRPr="00831F2B" w:rsidRDefault="00831F2B" w:rsidP="00831F2B">
      <w:pPr>
        <w:tabs>
          <w:tab w:val="num" w:pos="567"/>
        </w:tabs>
        <w:rPr>
          <w:rFonts w:ascii="Tahoma" w:hAnsi="Tahoma" w:cs="Tahoma"/>
          <w:sz w:val="20"/>
          <w:szCs w:val="20"/>
        </w:rPr>
      </w:pPr>
    </w:p>
    <w:p w:rsidR="00831F2B" w:rsidRPr="00831F2B" w:rsidRDefault="00831F2B" w:rsidP="00831F2B">
      <w:pPr>
        <w:tabs>
          <w:tab w:val="num" w:pos="567"/>
        </w:tabs>
        <w:rPr>
          <w:rFonts w:ascii="Tahoma" w:hAnsi="Tahoma" w:cs="Tahoma"/>
          <w:sz w:val="20"/>
          <w:szCs w:val="20"/>
        </w:rPr>
      </w:pPr>
    </w:p>
    <w:p w:rsidR="00831F2B" w:rsidRPr="00831F2B" w:rsidRDefault="00831F2B" w:rsidP="00831F2B">
      <w:pPr>
        <w:tabs>
          <w:tab w:val="num" w:pos="567"/>
        </w:tabs>
        <w:rPr>
          <w:rFonts w:ascii="Tahoma" w:hAnsi="Tahoma" w:cs="Tahoma"/>
          <w:sz w:val="20"/>
          <w:szCs w:val="20"/>
        </w:rPr>
      </w:pPr>
    </w:p>
    <w:p w:rsidR="00831F2B" w:rsidRPr="00831F2B" w:rsidRDefault="00831F2B" w:rsidP="00831F2B">
      <w:pPr>
        <w:tabs>
          <w:tab w:val="num" w:pos="567"/>
        </w:tabs>
        <w:ind w:left="567"/>
        <w:rPr>
          <w:rFonts w:ascii="Tahoma" w:hAnsi="Tahoma" w:cs="Tahoma"/>
          <w:sz w:val="20"/>
          <w:szCs w:val="20"/>
        </w:rPr>
      </w:pPr>
    </w:p>
    <w:p w:rsidR="00831F2B" w:rsidRPr="00831F2B" w:rsidRDefault="00831F2B" w:rsidP="00831F2B">
      <w:pPr>
        <w:pStyle w:val="Prrafodelista"/>
        <w:rPr>
          <w:rFonts w:ascii="Tahoma" w:hAnsi="Tahoma" w:cs="Tahoma"/>
          <w:sz w:val="20"/>
          <w:szCs w:val="20"/>
          <w:lang w:val="es-MX"/>
        </w:rPr>
      </w:pPr>
    </w:p>
    <w:p w:rsidR="00831F2B" w:rsidRPr="00831F2B" w:rsidRDefault="00831F2B" w:rsidP="00831F2B">
      <w:pPr>
        <w:pStyle w:val="Prrafodelista"/>
        <w:ind w:left="567"/>
        <w:rPr>
          <w:rFonts w:ascii="Tahoma" w:hAnsi="Tahoma" w:cs="Tahoma"/>
          <w:sz w:val="20"/>
          <w:szCs w:val="20"/>
          <w:lang w:val="es-MX"/>
        </w:rPr>
      </w:pPr>
    </w:p>
    <w:p w:rsidR="00831F2B" w:rsidRPr="00831F2B" w:rsidRDefault="00831F2B" w:rsidP="00831F2B">
      <w:pPr>
        <w:pStyle w:val="Prrafodelista"/>
        <w:ind w:left="567"/>
        <w:rPr>
          <w:rFonts w:ascii="Tahoma" w:hAnsi="Tahoma" w:cs="Tahoma"/>
          <w:sz w:val="20"/>
          <w:szCs w:val="20"/>
          <w:lang w:val="es-MX"/>
        </w:rPr>
      </w:pPr>
    </w:p>
    <w:p w:rsidR="00831F2B" w:rsidRPr="00831F2B" w:rsidRDefault="00831F2B" w:rsidP="00831F2B">
      <w:pPr>
        <w:pStyle w:val="Prrafodelista"/>
        <w:ind w:left="1276" w:hanging="556"/>
        <w:rPr>
          <w:rFonts w:ascii="Tahoma" w:hAnsi="Tahoma" w:cs="Tahoma"/>
          <w:sz w:val="20"/>
          <w:szCs w:val="20"/>
        </w:rPr>
      </w:pPr>
    </w:p>
    <w:p w:rsidR="00831F2B" w:rsidRPr="00831F2B" w:rsidRDefault="00831F2B" w:rsidP="00831F2B">
      <w:pPr>
        <w:pStyle w:val="Prrafodelista"/>
        <w:ind w:left="1276" w:hanging="556"/>
        <w:rPr>
          <w:rFonts w:ascii="Tahoma" w:hAnsi="Tahoma" w:cs="Tahoma"/>
          <w:sz w:val="20"/>
          <w:szCs w:val="20"/>
        </w:rPr>
      </w:pP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Textoindependiente"/>
        <w:ind w:left="360"/>
        <w:rPr>
          <w:rFonts w:ascii="Tahoma" w:hAnsi="Tahoma" w:cs="Tahoma"/>
          <w:sz w:val="20"/>
          <w:szCs w:val="20"/>
        </w:rPr>
      </w:pPr>
    </w:p>
    <w:p w:rsidR="00831F2B" w:rsidRPr="00831F2B" w:rsidRDefault="00831F2B" w:rsidP="00831F2B">
      <w:pPr>
        <w:pStyle w:val="Textoindependiente"/>
        <w:ind w:left="360"/>
        <w:rPr>
          <w:rFonts w:ascii="Tahoma" w:hAnsi="Tahoma" w:cs="Tahoma"/>
          <w:sz w:val="20"/>
          <w:szCs w:val="20"/>
        </w:rPr>
      </w:pPr>
    </w:p>
    <w:p w:rsidR="00831F2B" w:rsidRPr="00831F2B" w:rsidRDefault="00831F2B" w:rsidP="00831F2B">
      <w:pPr>
        <w:pStyle w:val="Textoindependiente"/>
        <w:ind w:left="567"/>
        <w:rPr>
          <w:rFonts w:ascii="Tahoma" w:hAnsi="Tahoma" w:cs="Tahoma"/>
          <w:sz w:val="20"/>
          <w:szCs w:val="20"/>
        </w:rPr>
      </w:pPr>
    </w:p>
    <w:p w:rsidR="00831F2B" w:rsidRPr="00831F2B" w:rsidRDefault="00831F2B" w:rsidP="00831F2B">
      <w:pPr>
        <w:pStyle w:val="Textoindependiente"/>
        <w:ind w:left="567"/>
        <w:rPr>
          <w:rFonts w:ascii="Tahoma" w:hAnsi="Tahoma" w:cs="Tahoma"/>
          <w:sz w:val="20"/>
          <w:szCs w:val="20"/>
        </w:rPr>
      </w:pPr>
    </w:p>
    <w:p w:rsidR="00831F2B" w:rsidRPr="00831F2B" w:rsidRDefault="00831F2B" w:rsidP="00831F2B">
      <w:pPr>
        <w:pStyle w:val="Textoindependiente"/>
        <w:tabs>
          <w:tab w:val="left" w:pos="-2340"/>
        </w:tabs>
        <w:ind w:left="567"/>
        <w:rPr>
          <w:rFonts w:ascii="Tahoma" w:hAnsi="Tahoma" w:cs="Tahoma"/>
          <w:b/>
          <w:sz w:val="20"/>
          <w:szCs w:val="20"/>
        </w:rPr>
      </w:pPr>
    </w:p>
    <w:p w:rsidR="00831F2B" w:rsidRPr="00831F2B" w:rsidRDefault="00831F2B" w:rsidP="00831F2B">
      <w:pPr>
        <w:pStyle w:val="Textoindependiente"/>
        <w:numPr>
          <w:ilvl w:val="0"/>
          <w:numId w:val="5"/>
        </w:numPr>
        <w:tabs>
          <w:tab w:val="left" w:pos="-2340"/>
        </w:tabs>
        <w:spacing w:after="0"/>
        <w:ind w:left="567" w:hanging="567"/>
        <w:jc w:val="both"/>
        <w:rPr>
          <w:rFonts w:ascii="Tahoma" w:hAnsi="Tahoma" w:cs="Tahoma"/>
          <w:b/>
          <w:sz w:val="20"/>
          <w:szCs w:val="20"/>
        </w:rPr>
      </w:pPr>
      <w:r w:rsidRPr="00831F2B">
        <w:rPr>
          <w:rFonts w:ascii="Tahoma" w:hAnsi="Tahoma" w:cs="Tahoma"/>
          <w:sz w:val="20"/>
          <w:szCs w:val="20"/>
        </w:rPr>
        <w:t xml:space="preserve">Nótese, entonces, que en la citada comunicación la Entidad le otorgó al Postor un plazo determinado para la firma del contrato, a tenor del artículo 148 del Reglamento, el cual prescribe que la Entidad debe otorgar al postor </w:t>
      </w:r>
      <w:r w:rsidRPr="00831F2B">
        <w:rPr>
          <w:rFonts w:ascii="Tahoma" w:hAnsi="Tahoma" w:cs="Tahoma"/>
          <w:i/>
          <w:sz w:val="20"/>
          <w:szCs w:val="20"/>
        </w:rPr>
        <w:t>un plazo mínimo de cinco (05) días hábiles y máximo de diez (10) días hábiles</w:t>
      </w:r>
      <w:r w:rsidRPr="00831F2B">
        <w:rPr>
          <w:rFonts w:ascii="Tahoma" w:hAnsi="Tahoma" w:cs="Tahoma"/>
          <w:sz w:val="20"/>
          <w:szCs w:val="20"/>
        </w:rPr>
        <w:t xml:space="preserve"> para la firma del contrato, dentro del cual este </w:t>
      </w:r>
      <w:r w:rsidRPr="00831F2B">
        <w:rPr>
          <w:rFonts w:ascii="Tahoma" w:hAnsi="Tahoma" w:cs="Tahoma"/>
          <w:sz w:val="20"/>
          <w:szCs w:val="20"/>
        </w:rPr>
        <w:lastRenderedPageBreak/>
        <w:t>último deberá presentarse a suscribir el contrato con toda la documentación requerida. De esta manera, se evidencia que el citado oficio constituye una carta de citación para la suscripción del contrato, conforme lo establece el procedimiento contemplado en la normativa de la materia.</w:t>
      </w:r>
    </w:p>
    <w:p w:rsidR="00831F2B" w:rsidRPr="00831F2B" w:rsidRDefault="00831F2B" w:rsidP="00831F2B">
      <w:pPr>
        <w:pStyle w:val="Textoindependiente"/>
        <w:tabs>
          <w:tab w:val="left" w:pos="-2340"/>
        </w:tabs>
        <w:ind w:left="567"/>
        <w:rPr>
          <w:rFonts w:ascii="Tahoma" w:hAnsi="Tahoma" w:cs="Tahoma"/>
          <w:b/>
          <w:sz w:val="20"/>
          <w:szCs w:val="20"/>
        </w:rPr>
      </w:pPr>
    </w:p>
    <w:p w:rsidR="006B65BB" w:rsidRDefault="00831F2B" w:rsidP="006B65BB">
      <w:pPr>
        <w:pStyle w:val="Textoindependiente"/>
        <w:numPr>
          <w:ilvl w:val="0"/>
          <w:numId w:val="5"/>
        </w:numPr>
        <w:tabs>
          <w:tab w:val="left" w:pos="-2340"/>
        </w:tabs>
        <w:spacing w:after="0"/>
        <w:ind w:left="567" w:hanging="567"/>
        <w:jc w:val="both"/>
        <w:rPr>
          <w:rFonts w:ascii="Tahoma" w:hAnsi="Tahoma" w:cs="Tahoma"/>
          <w:b/>
          <w:sz w:val="20"/>
          <w:szCs w:val="20"/>
        </w:rPr>
      </w:pPr>
      <w:r w:rsidRPr="00831F2B">
        <w:rPr>
          <w:rFonts w:ascii="Tahoma" w:hAnsi="Tahoma" w:cs="Tahoma"/>
          <w:sz w:val="20"/>
          <w:szCs w:val="20"/>
        </w:rPr>
        <w:t>En ese orden de ideas, este Colegiado puede verificar que del Oficio № 288-2010-PCM/OAA se desprende que el plazo máximo para que el Postor se apersone a las instalaciones con los documentos solicitados para la suscripción del contrato fue el 20 de septiembre de 2010, fecha en la cual el Postor no cumplió con apersonarse a las instalaciones de las Entidades con la documentación solicitada en las Bases Administrativas para la suscripción del contrato.</w:t>
      </w:r>
    </w:p>
    <w:p w:rsidR="006B65BB" w:rsidRDefault="006B65BB" w:rsidP="006B65BB">
      <w:pPr>
        <w:pStyle w:val="Prrafodelista"/>
        <w:rPr>
          <w:rFonts w:ascii="Tahoma" w:hAnsi="Tahoma" w:cs="Tahoma"/>
          <w:sz w:val="20"/>
          <w:szCs w:val="20"/>
        </w:rPr>
      </w:pPr>
    </w:p>
    <w:p w:rsidR="006B65BB" w:rsidRDefault="00831F2B" w:rsidP="006B65BB">
      <w:pPr>
        <w:pStyle w:val="Textoindependiente"/>
        <w:tabs>
          <w:tab w:val="left" w:pos="-2340"/>
        </w:tabs>
        <w:spacing w:after="0"/>
        <w:ind w:left="567"/>
        <w:jc w:val="both"/>
        <w:rPr>
          <w:rFonts w:ascii="Tahoma" w:hAnsi="Tahoma" w:cs="Tahoma"/>
          <w:b/>
          <w:sz w:val="20"/>
          <w:szCs w:val="20"/>
        </w:rPr>
      </w:pPr>
      <w:r w:rsidRPr="006B65BB">
        <w:rPr>
          <w:rFonts w:ascii="Tahoma" w:hAnsi="Tahoma" w:cs="Tahoma"/>
          <w:sz w:val="20"/>
          <w:szCs w:val="20"/>
        </w:rPr>
        <w:t xml:space="preserve">No obstante ello, y a pesar del argumento esbozado por el Postor, el 23 de septiembre de 2010, cuando ya había vencido el plazo otorgado en el Oficio № 288-2010-PCM/OAA, presentó de manera extemporánea los documentos solicitados en el citado oficio; razón por la cual, a través de la Carta № 086-2010-PCM/OAA de fecha 29 de septiembre de 2010, diligenciada vía conducto notarial el 30 del mismo mes y año, la Entidad le comunicó que al no haber haberse constituido a la Entidad para la respectiva firma en el plazo establecido, había perdido automáticamente la Buena Pro otorgada a su favor. </w:t>
      </w:r>
    </w:p>
    <w:p w:rsidR="006B65BB" w:rsidRDefault="006B65BB" w:rsidP="006B65BB">
      <w:pPr>
        <w:pStyle w:val="Prrafodelista"/>
        <w:rPr>
          <w:rFonts w:ascii="Tahoma" w:hAnsi="Tahoma" w:cs="Tahoma"/>
          <w:sz w:val="20"/>
          <w:szCs w:val="20"/>
        </w:rPr>
      </w:pPr>
    </w:p>
    <w:p w:rsidR="00831F2B" w:rsidRPr="006B65BB" w:rsidRDefault="00831F2B" w:rsidP="006B65BB">
      <w:pPr>
        <w:pStyle w:val="Textoindependiente"/>
        <w:numPr>
          <w:ilvl w:val="0"/>
          <w:numId w:val="5"/>
        </w:numPr>
        <w:tabs>
          <w:tab w:val="left" w:pos="-2340"/>
        </w:tabs>
        <w:spacing w:after="0"/>
        <w:ind w:left="567" w:hanging="567"/>
        <w:jc w:val="both"/>
        <w:rPr>
          <w:rFonts w:ascii="Tahoma" w:hAnsi="Tahoma" w:cs="Tahoma"/>
          <w:b/>
          <w:sz w:val="20"/>
          <w:szCs w:val="20"/>
        </w:rPr>
      </w:pPr>
      <w:r w:rsidRPr="006B65BB">
        <w:rPr>
          <w:rFonts w:ascii="Tahoma" w:hAnsi="Tahoma" w:cs="Tahoma"/>
          <w:sz w:val="20"/>
          <w:szCs w:val="20"/>
        </w:rPr>
        <w:t>Por lo tanto, así como en la resolución venida en grado se determinó que la Entidad había llegado a demostrar que siguió el procedimiento establecido para suscribir el contrato, de conformidad con el procedimiento establecido en el artículo 148 del Reglamento y en concordancia con lo dispuesto en el Acuerdo de Sala Plena № 007/009 del 25 de junio de 2009, también queda acreditado fehacientemente en la resolución impugnada que la Entidad al remitirle el Oficio № 288-2010-PCM/OAA cumplió con citar a aquél para la firma del contrato de acuerdo con lo dispuesto en la normativa que rige las contrataciones públicas.</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Textoindependiente"/>
        <w:numPr>
          <w:ilvl w:val="0"/>
          <w:numId w:val="5"/>
        </w:numPr>
        <w:tabs>
          <w:tab w:val="left" w:pos="-2340"/>
        </w:tabs>
        <w:spacing w:after="0"/>
        <w:ind w:left="567" w:hanging="567"/>
        <w:jc w:val="both"/>
        <w:rPr>
          <w:rFonts w:ascii="Tahoma" w:hAnsi="Tahoma" w:cs="Tahoma"/>
          <w:color w:val="000000"/>
          <w:sz w:val="20"/>
          <w:szCs w:val="20"/>
        </w:rPr>
      </w:pPr>
      <w:r w:rsidRPr="00831F2B">
        <w:rPr>
          <w:rFonts w:ascii="Tahoma" w:hAnsi="Tahoma" w:cs="Tahoma"/>
          <w:sz w:val="20"/>
          <w:szCs w:val="20"/>
        </w:rPr>
        <w:t xml:space="preserve">Por otro lado, el Postor ha señalado en el </w:t>
      </w:r>
      <w:r w:rsidRPr="00831F2B">
        <w:rPr>
          <w:rFonts w:ascii="Tahoma" w:hAnsi="Tahoma" w:cs="Tahoma"/>
          <w:b/>
          <w:sz w:val="20"/>
          <w:szCs w:val="20"/>
        </w:rPr>
        <w:t>literal c)</w:t>
      </w:r>
      <w:r w:rsidRPr="00831F2B">
        <w:rPr>
          <w:rFonts w:ascii="Tahoma" w:hAnsi="Tahoma" w:cs="Tahoma"/>
          <w:sz w:val="20"/>
          <w:szCs w:val="20"/>
        </w:rPr>
        <w:t xml:space="preserve"> del Numeral 6 de la presente Fundamentación que,</w:t>
      </w:r>
      <w:r w:rsidRPr="00831F2B">
        <w:rPr>
          <w:rFonts w:ascii="Tahoma" w:hAnsi="Tahoma" w:cs="Tahoma"/>
          <w:color w:val="000000"/>
          <w:sz w:val="20"/>
          <w:szCs w:val="20"/>
        </w:rPr>
        <w:t xml:space="preserve"> conforme al artículo 148 del Reglamento, el término de la presentación de los documentos para la suscripción del contrato no podrá ser menor de cinco (5) ni mayor de diez (10) días hábiles desde el requerimiento, cuya fecha data desde el 15 de septiembre de 2010, lo cual, revelaba que le plazo mínimo para presentar los documentos se cumplía el 22 de septiembre de 2010.</w:t>
      </w:r>
    </w:p>
    <w:p w:rsidR="00831F2B" w:rsidRPr="00831F2B" w:rsidRDefault="00831F2B" w:rsidP="00831F2B">
      <w:pPr>
        <w:pStyle w:val="Prrafodelista"/>
        <w:rPr>
          <w:rFonts w:ascii="Tahoma" w:hAnsi="Tahoma" w:cs="Tahoma"/>
          <w:color w:val="000000"/>
          <w:sz w:val="20"/>
          <w:szCs w:val="20"/>
        </w:rPr>
      </w:pPr>
    </w:p>
    <w:p w:rsidR="00831F2B" w:rsidRPr="00831F2B" w:rsidRDefault="00831F2B" w:rsidP="00831F2B">
      <w:pPr>
        <w:pStyle w:val="Textoindependiente"/>
        <w:numPr>
          <w:ilvl w:val="0"/>
          <w:numId w:val="5"/>
        </w:numPr>
        <w:tabs>
          <w:tab w:val="left" w:pos="-2340"/>
        </w:tabs>
        <w:spacing w:after="0"/>
        <w:ind w:left="567" w:hanging="567"/>
        <w:jc w:val="both"/>
        <w:rPr>
          <w:rFonts w:ascii="Tahoma" w:hAnsi="Tahoma" w:cs="Tahoma"/>
          <w:color w:val="000000"/>
          <w:sz w:val="20"/>
          <w:szCs w:val="20"/>
        </w:rPr>
      </w:pPr>
      <w:r w:rsidRPr="00831F2B">
        <w:rPr>
          <w:rFonts w:ascii="Tahoma" w:hAnsi="Tahoma" w:cs="Tahoma"/>
          <w:color w:val="000000"/>
          <w:sz w:val="20"/>
          <w:szCs w:val="20"/>
        </w:rPr>
        <w:t xml:space="preserve">Al respecto, dicho </w:t>
      </w:r>
      <w:r w:rsidRPr="00831F2B">
        <w:rPr>
          <w:rFonts w:ascii="Tahoma" w:hAnsi="Tahoma" w:cs="Tahoma"/>
          <w:sz w:val="20"/>
          <w:szCs w:val="20"/>
        </w:rPr>
        <w:t>argumento carece de todo fundamento fáctico y legal, toda vez que de la revisión de la documentación obrante en autos, se puede verificar que la Entidad cumplió con otorgarle el plazo de cinco (5) días hábiles para la suscripción del contrato, plazo que a tenor de la fecha de notificación del Oficio № 288-2010-PCM/OAA</w:t>
      </w:r>
      <w:r w:rsidRPr="00831F2B">
        <w:rPr>
          <w:rStyle w:val="Refdenotaalpie"/>
          <w:rFonts w:ascii="Tahoma" w:hAnsi="Tahoma" w:cs="Tahoma"/>
          <w:sz w:val="20"/>
          <w:szCs w:val="20"/>
        </w:rPr>
        <w:footnoteReference w:id="6"/>
      </w:r>
      <w:r w:rsidRPr="00831F2B">
        <w:rPr>
          <w:rFonts w:ascii="Tahoma" w:hAnsi="Tahoma" w:cs="Tahoma"/>
          <w:sz w:val="20"/>
          <w:szCs w:val="20"/>
        </w:rPr>
        <w:t xml:space="preserve"> vencía el 20 de septiembre de 2010, y no el 22 de ese mismo mes y año, como pretende afirmar el Postor en el presente recurso de reconsideración, por lo que era obligación del Postor presentarse –en esa fecha– en las instalaciones de la Entidad, puesto que el plazo otorgado por la Entidad constituye el requerido legalmente, a efectos de que el Postor </w:t>
      </w:r>
      <w:r w:rsidRPr="00831F2B">
        <w:rPr>
          <w:rFonts w:ascii="Tahoma" w:hAnsi="Tahoma" w:cs="Tahoma"/>
          <w:sz w:val="20"/>
          <w:szCs w:val="20"/>
        </w:rPr>
        <w:lastRenderedPageBreak/>
        <w:t xml:space="preserve">cumpla con recabar la documentación necesaria para el acto de suscripción del contrato, lo que denota que la Entidad actúo acorde con lo establecido en el Reglamento. </w:t>
      </w:r>
    </w:p>
    <w:p w:rsidR="00831F2B" w:rsidRPr="00831F2B" w:rsidRDefault="00831F2B" w:rsidP="00831F2B">
      <w:pPr>
        <w:pStyle w:val="Prrafodelista"/>
        <w:rPr>
          <w:rFonts w:ascii="Tahoma" w:hAnsi="Tahoma" w:cs="Tahoma"/>
          <w:color w:val="000000"/>
          <w:sz w:val="20"/>
          <w:szCs w:val="20"/>
        </w:rPr>
      </w:pPr>
    </w:p>
    <w:p w:rsidR="00831F2B" w:rsidRPr="00831F2B" w:rsidRDefault="00831F2B" w:rsidP="00831F2B">
      <w:pPr>
        <w:pStyle w:val="Textoindependiente"/>
        <w:numPr>
          <w:ilvl w:val="0"/>
          <w:numId w:val="5"/>
        </w:numPr>
        <w:tabs>
          <w:tab w:val="left" w:pos="-2340"/>
        </w:tabs>
        <w:spacing w:after="0"/>
        <w:ind w:left="567" w:hanging="567"/>
        <w:jc w:val="both"/>
        <w:rPr>
          <w:rFonts w:ascii="Tahoma" w:hAnsi="Tahoma" w:cs="Tahoma"/>
          <w:color w:val="000000"/>
          <w:sz w:val="20"/>
          <w:szCs w:val="20"/>
        </w:rPr>
      </w:pPr>
      <w:r w:rsidRPr="00831F2B">
        <w:rPr>
          <w:rFonts w:ascii="Tahoma" w:hAnsi="Tahoma" w:cs="Tahoma"/>
          <w:color w:val="000000"/>
          <w:sz w:val="20"/>
          <w:szCs w:val="20"/>
        </w:rPr>
        <w:t xml:space="preserve">En cuanto al argumento esbozado por el Postor </w:t>
      </w:r>
      <w:r w:rsidRPr="00831F2B">
        <w:rPr>
          <w:rFonts w:ascii="Tahoma" w:hAnsi="Tahoma" w:cs="Tahoma"/>
          <w:sz w:val="20"/>
          <w:szCs w:val="20"/>
        </w:rPr>
        <w:t xml:space="preserve">los </w:t>
      </w:r>
      <w:r w:rsidRPr="00831F2B">
        <w:rPr>
          <w:rFonts w:ascii="Tahoma" w:hAnsi="Tahoma" w:cs="Tahoma"/>
          <w:b/>
          <w:sz w:val="20"/>
          <w:szCs w:val="20"/>
        </w:rPr>
        <w:t>literales d) y e)</w:t>
      </w:r>
      <w:r w:rsidRPr="00831F2B">
        <w:rPr>
          <w:rFonts w:ascii="Tahoma" w:hAnsi="Tahoma" w:cs="Tahoma"/>
          <w:sz w:val="20"/>
          <w:szCs w:val="20"/>
        </w:rPr>
        <w:t xml:space="preserve"> del numeral 6 de la presente Fundamentación, referido a que el 22 de septiembre de 2010, su trabajador se apersono a las instalaciones de la Entidad para entregar los documentos solicitados, sin embargo ello se vio impedido, ya que había una manifestación en la puerta de la Entidad, lo cual le impidió acceso a la misma, no obstante ello, su trabajador por desconocimiento de las Bases, decidió no dejar los documentos y regresar al día siguiente para presentarlos. </w:t>
      </w:r>
    </w:p>
    <w:p w:rsidR="00831F2B" w:rsidRPr="00831F2B" w:rsidRDefault="00831F2B" w:rsidP="00831F2B">
      <w:pPr>
        <w:pStyle w:val="Prrafodelista"/>
        <w:rPr>
          <w:rFonts w:ascii="Tahoma" w:hAnsi="Tahoma" w:cs="Tahoma"/>
          <w:color w:val="000000"/>
          <w:sz w:val="20"/>
          <w:szCs w:val="20"/>
        </w:rPr>
      </w:pPr>
    </w:p>
    <w:p w:rsidR="00831F2B" w:rsidRPr="00831F2B" w:rsidRDefault="00831F2B" w:rsidP="00831F2B">
      <w:pPr>
        <w:pStyle w:val="Prrafodelista"/>
        <w:numPr>
          <w:ilvl w:val="0"/>
          <w:numId w:val="5"/>
        </w:numPr>
        <w:tabs>
          <w:tab w:val="clear" w:pos="720"/>
        </w:tabs>
        <w:ind w:left="567" w:hanging="567"/>
        <w:contextualSpacing w:val="0"/>
        <w:jc w:val="both"/>
        <w:rPr>
          <w:rFonts w:ascii="Tahoma" w:hAnsi="Tahoma" w:cs="Tahoma"/>
          <w:sz w:val="20"/>
          <w:szCs w:val="20"/>
        </w:rPr>
      </w:pPr>
      <w:r w:rsidRPr="00831F2B">
        <w:rPr>
          <w:rFonts w:ascii="Tahoma" w:hAnsi="Tahoma" w:cs="Tahoma"/>
          <w:color w:val="000000"/>
          <w:sz w:val="20"/>
          <w:szCs w:val="20"/>
        </w:rPr>
        <w:t xml:space="preserve">Sobre el particular, cabe precisar que está acreditado en autos, por un lado, que el </w:t>
      </w:r>
      <w:r w:rsidRPr="00831F2B">
        <w:rPr>
          <w:rFonts w:ascii="Tahoma" w:hAnsi="Tahoma" w:cs="Tahoma"/>
          <w:sz w:val="20"/>
          <w:szCs w:val="20"/>
        </w:rPr>
        <w:t>plazo máximo para que el Postor se apersone a las instalaciones con los documentos solicitados para la suscripción del contrato fue el 20 de septiembre de 2010, fecha en la cual el Postor no cumplió con dicho fin, y por el otro, que la actuación de su trabajador responden a una esfera jurídica independiente que, bajo ninguna circunstancia, resulta oponible a la obligación existente entre el Postor y la Entidad, la cual no puede verse perjudicada por las vicisitudes acontecidas por su trabajador, en tanto aquél es el único responsable de los términos consignados en su oferta presentado en el proceso de selección, por lo que su sola presentación los vincula jurídicamente, de modo que el otorgamiento de la Buena Pro otorgada a su favor, obliga a éste a suscribir el contrato dentro del plazo señalado, para lo cual aquél de manera diligente debió prever que dicha prestación se realice en las condiciones pactadas.</w:t>
      </w:r>
    </w:p>
    <w:p w:rsidR="00831F2B" w:rsidRPr="00831F2B" w:rsidRDefault="00831F2B" w:rsidP="00831F2B">
      <w:pPr>
        <w:pStyle w:val="Prrafodelista"/>
        <w:rPr>
          <w:rFonts w:ascii="Tahoma" w:hAnsi="Tahoma" w:cs="Tahoma"/>
          <w:sz w:val="20"/>
          <w:szCs w:val="20"/>
        </w:rPr>
      </w:pPr>
    </w:p>
    <w:p w:rsidR="00831F2B" w:rsidRPr="00831F2B" w:rsidRDefault="00831F2B" w:rsidP="00831F2B">
      <w:pPr>
        <w:pStyle w:val="Prrafodelista"/>
        <w:tabs>
          <w:tab w:val="left" w:pos="-2340"/>
        </w:tabs>
        <w:ind w:left="567"/>
        <w:jc w:val="both"/>
        <w:rPr>
          <w:rFonts w:ascii="Tahoma" w:hAnsi="Tahoma" w:cs="Tahoma"/>
          <w:sz w:val="20"/>
          <w:szCs w:val="20"/>
        </w:rPr>
      </w:pPr>
      <w:r w:rsidRPr="00831F2B">
        <w:rPr>
          <w:rFonts w:ascii="Tahoma" w:hAnsi="Tahoma" w:cs="Tahoma"/>
          <w:sz w:val="20"/>
          <w:szCs w:val="20"/>
        </w:rPr>
        <w:t xml:space="preserve">Aunado a ello, cabe precisar que aún cuando 22 de septiembre de 2010, el Postor había perdido automáticamente la Buena Pro adjudicada a su favor, este Colegiado considera pertinente resaltar que el Postor tampoco  ha lo grado presentar prueba alguna que corrobore que su trabajador se presentó en esa fecha a las instalaciones de la Entidad para presentar la documentación solicitada en la carta de citación. </w:t>
      </w:r>
    </w:p>
    <w:p w:rsidR="00831F2B" w:rsidRPr="00831F2B" w:rsidRDefault="00831F2B" w:rsidP="00831F2B">
      <w:pPr>
        <w:tabs>
          <w:tab w:val="left" w:pos="-2340"/>
        </w:tabs>
        <w:jc w:val="both"/>
        <w:rPr>
          <w:rFonts w:ascii="Tahoma" w:hAnsi="Tahoma" w:cs="Tahoma"/>
          <w:sz w:val="20"/>
          <w:szCs w:val="20"/>
        </w:rPr>
      </w:pPr>
    </w:p>
    <w:p w:rsidR="00831F2B" w:rsidRPr="00831F2B" w:rsidRDefault="00831F2B" w:rsidP="00831F2B">
      <w:pPr>
        <w:ind w:left="567"/>
        <w:jc w:val="both"/>
        <w:rPr>
          <w:rFonts w:ascii="Tahoma" w:hAnsi="Tahoma" w:cs="Tahoma"/>
          <w:sz w:val="20"/>
          <w:szCs w:val="20"/>
        </w:rPr>
      </w:pPr>
      <w:r w:rsidRPr="00831F2B">
        <w:rPr>
          <w:rFonts w:ascii="Tahoma" w:hAnsi="Tahoma" w:cs="Tahoma"/>
          <w:sz w:val="20"/>
          <w:szCs w:val="20"/>
        </w:rPr>
        <w:t>Sobre el Particular, la Ley y el Reglamento de Contrataciones del Estado, son normas de conocimiento público hacia todos los operadores de la norma y público en general con la finalidad que tengan pleno conocimiento de sus contenidos y ejercer de esta manera los derechos a los que tuvieren lugar. En virtud a ello, el Postor presentó una Declaración Jurada donde aceptaba que conocía y se comprometía a dar cumplimiento a la norma de contrataciones públicas.  Por lo tanto, la mencionada misiva de fecha 14 de abril de 2010, notificada vía fax (Carta de citación para la suscripción del contrato), si contenía el plazo legal establecido en el Reglamento, el cual prescribió la norma que regulaba dicho requerimiento a efectos de que el Postor cumpliera con sus obligaciones derivadas del citado proceso de selección.</w:t>
      </w:r>
    </w:p>
    <w:p w:rsidR="00831F2B" w:rsidRPr="00831F2B" w:rsidRDefault="00831F2B" w:rsidP="00831F2B">
      <w:pPr>
        <w:pStyle w:val="Prrafodelista"/>
        <w:tabs>
          <w:tab w:val="left" w:pos="-2340"/>
        </w:tabs>
        <w:ind w:left="567"/>
        <w:rPr>
          <w:rFonts w:ascii="Tahoma" w:hAnsi="Tahoma" w:cs="Tahoma"/>
          <w:sz w:val="20"/>
          <w:szCs w:val="20"/>
        </w:rPr>
      </w:pPr>
    </w:p>
    <w:p w:rsidR="00831F2B" w:rsidRPr="00831F2B" w:rsidRDefault="00831F2B" w:rsidP="00831F2B">
      <w:pPr>
        <w:pStyle w:val="Textoindependiente"/>
        <w:widowControl w:val="0"/>
        <w:numPr>
          <w:ilvl w:val="0"/>
          <w:numId w:val="5"/>
        </w:numPr>
        <w:tabs>
          <w:tab w:val="clear" w:pos="720"/>
          <w:tab w:val="left" w:pos="-2340"/>
          <w:tab w:val="num" w:pos="567"/>
        </w:tabs>
        <w:suppressAutoHyphens/>
        <w:autoSpaceDE w:val="0"/>
        <w:autoSpaceDN w:val="0"/>
        <w:adjustRightInd w:val="0"/>
        <w:spacing w:after="0"/>
        <w:ind w:left="567" w:right="-2" w:hanging="567"/>
        <w:jc w:val="both"/>
        <w:rPr>
          <w:rFonts w:ascii="Tahoma" w:eastAsia="Calibri" w:hAnsi="Tahoma" w:cs="Tahoma"/>
          <w:sz w:val="20"/>
          <w:szCs w:val="20"/>
          <w:lang w:eastAsia="en-US"/>
        </w:rPr>
      </w:pPr>
      <w:r w:rsidRPr="00831F2B">
        <w:rPr>
          <w:rFonts w:ascii="Tahoma" w:hAnsi="Tahoma" w:cs="Tahoma"/>
          <w:sz w:val="20"/>
          <w:szCs w:val="20"/>
        </w:rPr>
        <w:t xml:space="preserve">Adicionalmente a ello, en cuanto a la solicitud del recurrente respecto a la graduación de la sanción impuesta, cabe indicar ésta fue tomada en cuenta por este Colegiado cuando se le impuso la sanción de meses (14) meses, encontrándose ésta dentro de los </w:t>
      </w:r>
      <w:r w:rsidRPr="00831F2B">
        <w:rPr>
          <w:rFonts w:ascii="Tahoma" w:hAnsi="Tahoma" w:cs="Tahoma"/>
          <w:sz w:val="20"/>
          <w:szCs w:val="20"/>
          <w:lang w:val="es-ES_tradnl"/>
        </w:rPr>
        <w:t xml:space="preserve">parámetros de la infracción cometida, la cual establece una sanción administrativa </w:t>
      </w:r>
      <w:r w:rsidRPr="00831F2B">
        <w:rPr>
          <w:rFonts w:ascii="Tahoma" w:hAnsi="Tahoma" w:cs="Tahoma"/>
          <w:sz w:val="20"/>
          <w:szCs w:val="20"/>
        </w:rPr>
        <w:t xml:space="preserve">entre uno (1) y tres (3) años </w:t>
      </w:r>
      <w:r w:rsidRPr="00831F2B">
        <w:rPr>
          <w:rFonts w:ascii="Tahoma" w:hAnsi="Tahoma" w:cs="Tahoma"/>
          <w:sz w:val="20"/>
          <w:szCs w:val="20"/>
          <w:lang w:val="es-ES_tradnl"/>
        </w:rPr>
        <w:t xml:space="preserve">de inhabilitación al infractor, en su derecho para contratar con el Estado y participar en procesos de selección, </w:t>
      </w:r>
      <w:r w:rsidRPr="00831F2B">
        <w:rPr>
          <w:rFonts w:ascii="Tahoma" w:hAnsi="Tahoma" w:cs="Tahoma"/>
          <w:sz w:val="20"/>
          <w:szCs w:val="20"/>
        </w:rPr>
        <w:t>situación fáctica que se desprende de la lectura de los numerales 15, 16, 17, 18 y 19 de la resolución recurrida.</w:t>
      </w:r>
    </w:p>
    <w:p w:rsidR="00831F2B" w:rsidRPr="00831F2B" w:rsidRDefault="00831F2B" w:rsidP="00831F2B">
      <w:pPr>
        <w:pStyle w:val="Textoindependiente"/>
        <w:widowControl w:val="0"/>
        <w:tabs>
          <w:tab w:val="left" w:pos="-2340"/>
        </w:tabs>
        <w:suppressAutoHyphens/>
        <w:autoSpaceDE w:val="0"/>
        <w:autoSpaceDN w:val="0"/>
        <w:adjustRightInd w:val="0"/>
        <w:ind w:left="567" w:right="-2"/>
        <w:rPr>
          <w:rFonts w:ascii="Tahoma" w:eastAsia="Calibri" w:hAnsi="Tahoma" w:cs="Tahoma"/>
          <w:sz w:val="20"/>
          <w:szCs w:val="20"/>
          <w:lang w:eastAsia="en-US"/>
        </w:rPr>
      </w:pPr>
    </w:p>
    <w:p w:rsidR="006B65BB" w:rsidRPr="006B65BB" w:rsidRDefault="00831F2B" w:rsidP="006B65BB">
      <w:pPr>
        <w:pStyle w:val="Textoindependiente2"/>
        <w:numPr>
          <w:ilvl w:val="0"/>
          <w:numId w:val="5"/>
        </w:numPr>
        <w:tabs>
          <w:tab w:val="clear" w:pos="720"/>
          <w:tab w:val="num" w:pos="567"/>
        </w:tabs>
        <w:autoSpaceDE w:val="0"/>
        <w:autoSpaceDN w:val="0"/>
        <w:adjustRightInd w:val="0"/>
        <w:spacing w:after="0" w:line="240" w:lineRule="auto"/>
        <w:ind w:left="567" w:hanging="567"/>
        <w:jc w:val="both"/>
        <w:rPr>
          <w:rFonts w:ascii="Tahoma" w:eastAsia="Calibri" w:hAnsi="Tahoma" w:cs="Tahoma"/>
          <w:lang w:eastAsia="en-US"/>
        </w:rPr>
      </w:pPr>
      <w:r w:rsidRPr="00831F2B">
        <w:rPr>
          <w:rFonts w:ascii="Tahoma" w:hAnsi="Tahoma" w:cs="Tahoma"/>
        </w:rPr>
        <w:lastRenderedPageBreak/>
        <w:t xml:space="preserve">Por último, y con respecto a lo solicitado al </w:t>
      </w:r>
      <w:r w:rsidRPr="00831F2B">
        <w:rPr>
          <w:rFonts w:ascii="Tahoma" w:hAnsi="Tahoma" w:cs="Tahoma"/>
          <w:b/>
        </w:rPr>
        <w:t xml:space="preserve">literal f) </w:t>
      </w:r>
      <w:r w:rsidRPr="00831F2B">
        <w:rPr>
          <w:rFonts w:ascii="Tahoma" w:hAnsi="Tahoma" w:cs="Tahoma"/>
        </w:rPr>
        <w:t>de del numeral 5 de la presente Fundamentación, cabe señalar que, en virtud del Principio de Verdad Material, este Colegiado programó Audiencia Publica el 26 de abril de 2011, de manera que el Postor pudiera ahondar en los hechos vertidos en su recurso de reconsideración, y explicar las circunstancias que le impidieron suscribir el contrato; en este sentido, esté no se apersonó a la misma, pese a haber sido debidamente notificado el 18 de abril de 2011, mediante Cedula de Notificación № 10160/2011.TC.</w:t>
      </w:r>
    </w:p>
    <w:p w:rsidR="006B65BB" w:rsidRDefault="006B65BB" w:rsidP="006B65BB">
      <w:pPr>
        <w:pStyle w:val="Prrafodelista"/>
        <w:rPr>
          <w:rFonts w:ascii="Tahoma" w:hAnsi="Tahoma" w:cs="Tahoma"/>
        </w:rPr>
      </w:pPr>
    </w:p>
    <w:p w:rsidR="00831F2B" w:rsidRPr="006B65BB" w:rsidRDefault="00831F2B" w:rsidP="006B65BB">
      <w:pPr>
        <w:pStyle w:val="Textoindependiente2"/>
        <w:numPr>
          <w:ilvl w:val="0"/>
          <w:numId w:val="5"/>
        </w:numPr>
        <w:tabs>
          <w:tab w:val="clear" w:pos="720"/>
          <w:tab w:val="num" w:pos="567"/>
        </w:tabs>
        <w:autoSpaceDE w:val="0"/>
        <w:autoSpaceDN w:val="0"/>
        <w:adjustRightInd w:val="0"/>
        <w:spacing w:after="0" w:line="240" w:lineRule="auto"/>
        <w:ind w:left="567" w:hanging="567"/>
        <w:jc w:val="both"/>
        <w:rPr>
          <w:rFonts w:ascii="Tahoma" w:eastAsia="Calibri" w:hAnsi="Tahoma" w:cs="Tahoma"/>
          <w:lang w:eastAsia="en-US"/>
        </w:rPr>
      </w:pPr>
      <w:r w:rsidRPr="006B65BB">
        <w:rPr>
          <w:rFonts w:ascii="Tahoma" w:hAnsi="Tahoma" w:cs="Tahoma"/>
        </w:rPr>
        <w:t>En consecuencia, este Tribunal considera que en el presente procedimiento el Postor no ha aportado nuevos elementos de juicio que permitan modificar la decisión que adoptó en la resolución recurrida, por lo que corresponde declarar infundado el recurso de reconsideración interpuesto por la empresa ASESORIA COMERCIAL S.A. (ACOSA).</w:t>
      </w:r>
    </w:p>
    <w:p w:rsidR="00711297" w:rsidRPr="00831F2B" w:rsidRDefault="00711297" w:rsidP="00986843">
      <w:pPr>
        <w:pStyle w:val="Prrafodelista"/>
        <w:jc w:val="both"/>
        <w:rPr>
          <w:rFonts w:ascii="Tahoma" w:hAnsi="Tahoma" w:cs="Tahoma"/>
          <w:sz w:val="20"/>
          <w:szCs w:val="20"/>
        </w:rPr>
      </w:pPr>
    </w:p>
    <w:p w:rsidR="00C46DE3" w:rsidRDefault="00C46DE3" w:rsidP="00C46DE3">
      <w:pPr>
        <w:ind w:left="567" w:firstLine="567"/>
        <w:jc w:val="both"/>
        <w:rPr>
          <w:rFonts w:ascii="Tahoma" w:hAnsi="Tahoma" w:cs="Tahoma"/>
          <w:color w:val="000000"/>
          <w:sz w:val="20"/>
          <w:szCs w:val="20"/>
        </w:rPr>
      </w:pPr>
      <w:r w:rsidRPr="00831F2B">
        <w:rPr>
          <w:rFonts w:ascii="Tahoma" w:hAnsi="Tahoma" w:cs="Tahoma"/>
          <w:color w:val="000000"/>
          <w:sz w:val="20"/>
          <w:szCs w:val="20"/>
        </w:rPr>
        <w:t xml:space="preserve">Por estos fundamentos, de conformidad con el informe del Vocal Ponente </w:t>
      </w:r>
      <w:r w:rsidRPr="00831F2B">
        <w:rPr>
          <w:rFonts w:ascii="Tahoma" w:hAnsi="Tahoma" w:cs="Tahoma"/>
          <w:sz w:val="20"/>
          <w:szCs w:val="20"/>
        </w:rPr>
        <w:t>Doctor Carlos Vicente Navas Rondón</w:t>
      </w:r>
      <w:r w:rsidRPr="00831F2B">
        <w:rPr>
          <w:rFonts w:ascii="Tahoma" w:hAnsi="Tahoma" w:cs="Tahoma"/>
          <w:color w:val="000000"/>
          <w:sz w:val="20"/>
          <w:szCs w:val="20"/>
        </w:rPr>
        <w:t xml:space="preserve"> y la intervención de las Vocales</w:t>
      </w:r>
      <w:r w:rsidR="005811F4">
        <w:rPr>
          <w:rFonts w:ascii="Tahoma" w:hAnsi="Tahoma" w:cs="Tahoma"/>
          <w:color w:val="000000"/>
          <w:sz w:val="20"/>
          <w:szCs w:val="20"/>
        </w:rPr>
        <w:t xml:space="preserve"> </w:t>
      </w:r>
      <w:r w:rsidR="005811F4" w:rsidRPr="005811F4">
        <w:rPr>
          <w:rFonts w:ascii="Tahoma" w:hAnsi="Tahoma" w:cs="Tahoma"/>
          <w:color w:val="000000"/>
          <w:sz w:val="20"/>
          <w:szCs w:val="20"/>
        </w:rPr>
        <w:t>Dra. Janette Elke Ramírez Maynetto</w:t>
      </w:r>
      <w:r w:rsidR="005811F4">
        <w:rPr>
          <w:rFonts w:ascii="Tahoma" w:hAnsi="Tahoma" w:cs="Tahoma"/>
          <w:color w:val="000000"/>
          <w:sz w:val="20"/>
          <w:szCs w:val="20"/>
        </w:rPr>
        <w:t xml:space="preserve"> y Dra. Wina Isasi Berrospi</w:t>
      </w:r>
      <w:r w:rsidR="00F179DB">
        <w:rPr>
          <w:rFonts w:ascii="Tahoma" w:hAnsi="Tahoma" w:cs="Tahoma"/>
          <w:color w:val="000000"/>
          <w:sz w:val="20"/>
          <w:szCs w:val="20"/>
        </w:rPr>
        <w:t xml:space="preserve"> </w:t>
      </w:r>
      <w:r w:rsidR="00F179DB">
        <w:rPr>
          <w:rFonts w:ascii="Tahoma" w:eastAsiaTheme="minorHAnsi" w:hAnsi="Tahoma" w:cs="Tahoma"/>
          <w:color w:val="000000"/>
          <w:sz w:val="20"/>
          <w:szCs w:val="20"/>
          <w:lang w:eastAsia="en-US"/>
        </w:rPr>
        <w:t>(ésta última conf</w:t>
      </w:r>
      <w:r w:rsidR="00A43A67">
        <w:rPr>
          <w:rFonts w:ascii="Tahoma" w:eastAsiaTheme="minorHAnsi" w:hAnsi="Tahoma" w:cs="Tahoma"/>
          <w:color w:val="000000"/>
          <w:sz w:val="20"/>
          <w:szCs w:val="20"/>
          <w:lang w:eastAsia="en-US"/>
        </w:rPr>
        <w:t>orme al Acuerdo de Sala Plena №</w:t>
      </w:r>
      <w:r w:rsidR="00F179DB">
        <w:rPr>
          <w:rFonts w:ascii="Tahoma" w:eastAsiaTheme="minorHAnsi" w:hAnsi="Tahoma" w:cs="Tahoma"/>
          <w:color w:val="000000"/>
          <w:sz w:val="20"/>
          <w:szCs w:val="20"/>
          <w:lang w:eastAsia="en-US"/>
        </w:rPr>
        <w:t xml:space="preserve"> 001-2011 del 04 de abril de 2011)</w:t>
      </w:r>
      <w:r w:rsidRPr="00831F2B">
        <w:rPr>
          <w:rFonts w:ascii="Tahoma" w:hAnsi="Tahoma" w:cs="Tahoma"/>
          <w:color w:val="000000"/>
          <w:sz w:val="20"/>
          <w:szCs w:val="20"/>
        </w:rPr>
        <w:t>,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11297" w:rsidRPr="00831F2B" w:rsidRDefault="00711297" w:rsidP="00986843">
      <w:pPr>
        <w:pStyle w:val="Sinespaciado"/>
        <w:jc w:val="both"/>
        <w:rPr>
          <w:rFonts w:ascii="Tahoma" w:hAnsi="Tahoma" w:cs="Tahoma"/>
          <w:sz w:val="20"/>
          <w:szCs w:val="20"/>
        </w:rPr>
      </w:pPr>
    </w:p>
    <w:p w:rsidR="00711297" w:rsidRPr="00831F2B" w:rsidRDefault="00711297" w:rsidP="00986843">
      <w:pPr>
        <w:tabs>
          <w:tab w:val="num" w:pos="360"/>
          <w:tab w:val="left" w:pos="8280"/>
        </w:tabs>
        <w:jc w:val="both"/>
        <w:rPr>
          <w:rFonts w:ascii="Tahoma" w:hAnsi="Tahoma" w:cs="Tahoma"/>
          <w:b/>
          <w:sz w:val="20"/>
          <w:szCs w:val="20"/>
        </w:rPr>
      </w:pPr>
      <w:r w:rsidRPr="00831F2B">
        <w:rPr>
          <w:rFonts w:ascii="Tahoma" w:hAnsi="Tahoma" w:cs="Tahoma"/>
          <w:b/>
          <w:sz w:val="20"/>
          <w:szCs w:val="20"/>
        </w:rPr>
        <w:t>LA SALA RESUELVE:</w:t>
      </w:r>
    </w:p>
    <w:p w:rsidR="00711297" w:rsidRPr="00831F2B" w:rsidRDefault="00711297" w:rsidP="00986843">
      <w:pPr>
        <w:tabs>
          <w:tab w:val="num" w:pos="360"/>
          <w:tab w:val="left" w:pos="8280"/>
        </w:tabs>
        <w:jc w:val="both"/>
        <w:rPr>
          <w:rFonts w:ascii="Tahoma" w:hAnsi="Tahoma" w:cs="Tahoma"/>
          <w:b/>
          <w:sz w:val="20"/>
          <w:szCs w:val="20"/>
        </w:rPr>
      </w:pPr>
    </w:p>
    <w:p w:rsidR="00831F2B" w:rsidRPr="00831F2B" w:rsidRDefault="00831F2B" w:rsidP="00831F2B">
      <w:pPr>
        <w:numPr>
          <w:ilvl w:val="0"/>
          <w:numId w:val="3"/>
        </w:numPr>
        <w:ind w:left="540" w:hanging="540"/>
        <w:jc w:val="both"/>
        <w:rPr>
          <w:rFonts w:ascii="Tahoma" w:hAnsi="Tahoma" w:cs="Tahoma"/>
          <w:sz w:val="20"/>
          <w:szCs w:val="20"/>
        </w:rPr>
      </w:pPr>
      <w:r w:rsidRPr="00831F2B">
        <w:rPr>
          <w:rFonts w:ascii="Tahoma" w:hAnsi="Tahoma" w:cs="Tahoma"/>
          <w:sz w:val="20"/>
          <w:szCs w:val="20"/>
        </w:rPr>
        <w:t>Declarar infundado el recurso de reconsideración interpuesto por la empresa ASESORIA COMERCIAL S.A. (ACOSA) contra la Resolución № 575-2011-TC-S1 de fecha 31 de marzo de 2011, que dispuso imponerle sanción administrativa de inhabilitación temporal en sus derechos para participar en procesos de selección y contratar con el Estado por el periodo de catorce (14) meses, la cual se confirma en todos sus extremos.</w:t>
      </w:r>
    </w:p>
    <w:p w:rsidR="00831F2B" w:rsidRPr="00831F2B" w:rsidRDefault="00831F2B" w:rsidP="00831F2B">
      <w:pPr>
        <w:ind w:left="540"/>
        <w:rPr>
          <w:rFonts w:ascii="Tahoma" w:hAnsi="Tahoma" w:cs="Tahoma"/>
          <w:sz w:val="20"/>
          <w:szCs w:val="20"/>
        </w:rPr>
      </w:pPr>
    </w:p>
    <w:p w:rsidR="00831F2B" w:rsidRPr="00831F2B" w:rsidRDefault="00831F2B" w:rsidP="00831F2B">
      <w:pPr>
        <w:numPr>
          <w:ilvl w:val="0"/>
          <w:numId w:val="3"/>
        </w:numPr>
        <w:ind w:left="540" w:hanging="540"/>
        <w:jc w:val="both"/>
        <w:rPr>
          <w:rFonts w:ascii="Tahoma" w:hAnsi="Tahoma" w:cs="Tahoma"/>
          <w:sz w:val="20"/>
          <w:szCs w:val="20"/>
        </w:rPr>
      </w:pPr>
      <w:r w:rsidRPr="00831F2B">
        <w:rPr>
          <w:rFonts w:ascii="Tahoma" w:hAnsi="Tahoma" w:cs="Tahoma"/>
          <w:sz w:val="20"/>
          <w:szCs w:val="20"/>
        </w:rPr>
        <w:t xml:space="preserve">Poner la presente Resolución en conocimiento de la Subdirección del Registro Nacional de Proveedores del Organismo Superior de Contrataciones del Estado (OSCE), para las anotaciones de ley. </w:t>
      </w:r>
    </w:p>
    <w:p w:rsidR="00831F2B" w:rsidRPr="00831F2B" w:rsidRDefault="00831F2B" w:rsidP="00831F2B">
      <w:pPr>
        <w:pStyle w:val="Prrafodelista"/>
        <w:ind w:left="1134"/>
        <w:rPr>
          <w:rFonts w:ascii="Tahoma" w:hAnsi="Tahoma" w:cs="Tahoma"/>
          <w:bCs/>
          <w:sz w:val="20"/>
          <w:szCs w:val="20"/>
        </w:rPr>
      </w:pPr>
    </w:p>
    <w:p w:rsidR="00831F2B" w:rsidRPr="00831F2B" w:rsidRDefault="00831F2B" w:rsidP="00831F2B">
      <w:pPr>
        <w:numPr>
          <w:ilvl w:val="0"/>
          <w:numId w:val="3"/>
        </w:numPr>
        <w:ind w:left="540" w:hanging="540"/>
        <w:jc w:val="both"/>
        <w:rPr>
          <w:rFonts w:ascii="Tahoma" w:hAnsi="Tahoma" w:cs="Tahoma"/>
          <w:sz w:val="20"/>
          <w:szCs w:val="20"/>
        </w:rPr>
      </w:pPr>
      <w:r w:rsidRPr="00831F2B">
        <w:rPr>
          <w:rFonts w:ascii="Tahoma" w:hAnsi="Tahoma" w:cs="Tahoma"/>
          <w:bCs/>
          <w:sz w:val="20"/>
          <w:szCs w:val="20"/>
        </w:rPr>
        <w:t>Ejecutar la garantía presentada por la</w:t>
      </w:r>
      <w:r w:rsidRPr="00831F2B">
        <w:rPr>
          <w:rFonts w:ascii="Tahoma" w:hAnsi="Tahoma" w:cs="Tahoma"/>
          <w:sz w:val="20"/>
          <w:szCs w:val="20"/>
        </w:rPr>
        <w:t xml:space="preserve"> empresa ASESORIA COMERCIAL S.A. (ACOSA) </w:t>
      </w:r>
      <w:r w:rsidRPr="00831F2B">
        <w:rPr>
          <w:rFonts w:ascii="Tahoma" w:hAnsi="Tahoma" w:cs="Tahoma"/>
          <w:bCs/>
          <w:sz w:val="20"/>
          <w:szCs w:val="20"/>
        </w:rPr>
        <w:t>por la interposición del recurso del recurso de reconsideración contra la Resolución № 575-2010-TC-S1.</w:t>
      </w:r>
    </w:p>
    <w:p w:rsidR="00831F2B" w:rsidRPr="00831F2B" w:rsidRDefault="00831F2B" w:rsidP="00831F2B">
      <w:pPr>
        <w:pStyle w:val="Prrafodelista"/>
        <w:ind w:left="1134"/>
        <w:rPr>
          <w:rFonts w:ascii="Tahoma" w:hAnsi="Tahoma" w:cs="Tahoma"/>
          <w:sz w:val="20"/>
          <w:szCs w:val="20"/>
        </w:rPr>
      </w:pPr>
    </w:p>
    <w:p w:rsidR="00831F2B" w:rsidRPr="00831F2B" w:rsidRDefault="00831F2B" w:rsidP="00831F2B">
      <w:pPr>
        <w:numPr>
          <w:ilvl w:val="0"/>
          <w:numId w:val="3"/>
        </w:numPr>
        <w:ind w:left="540" w:hanging="540"/>
        <w:jc w:val="both"/>
        <w:rPr>
          <w:rFonts w:ascii="Tahoma" w:hAnsi="Tahoma" w:cs="Tahoma"/>
          <w:sz w:val="20"/>
          <w:szCs w:val="20"/>
        </w:rPr>
      </w:pPr>
      <w:r w:rsidRPr="00831F2B">
        <w:rPr>
          <w:rFonts w:ascii="Tahoma" w:hAnsi="Tahoma" w:cs="Tahoma"/>
          <w:sz w:val="20"/>
          <w:szCs w:val="20"/>
        </w:rPr>
        <w:t>Dar por agotada la vía administrativa.</w:t>
      </w:r>
    </w:p>
    <w:p w:rsidR="00C46DE3" w:rsidRPr="00831F2B" w:rsidRDefault="00C46DE3" w:rsidP="00C46DE3">
      <w:pPr>
        <w:pStyle w:val="Prrafodelista"/>
        <w:ind w:left="1134"/>
        <w:rPr>
          <w:rFonts w:ascii="Tahoma" w:hAnsi="Tahoma" w:cs="Tahoma"/>
          <w:bCs/>
          <w:sz w:val="20"/>
          <w:szCs w:val="20"/>
        </w:rPr>
      </w:pPr>
    </w:p>
    <w:p w:rsidR="00C46DE3" w:rsidRPr="00831F2B" w:rsidRDefault="00C46DE3" w:rsidP="00C46DE3">
      <w:pPr>
        <w:pStyle w:val="Prrafodelista"/>
        <w:rPr>
          <w:rFonts w:ascii="Tahoma" w:hAnsi="Tahoma" w:cs="Tahoma"/>
          <w:sz w:val="20"/>
          <w:szCs w:val="20"/>
        </w:rPr>
      </w:pPr>
    </w:p>
    <w:p w:rsidR="00877F0D" w:rsidRPr="00831F2B" w:rsidRDefault="00877F0D" w:rsidP="00986843">
      <w:pPr>
        <w:ind w:left="540"/>
        <w:jc w:val="both"/>
        <w:rPr>
          <w:rFonts w:ascii="Tahoma" w:hAnsi="Tahoma" w:cs="Tahoma"/>
          <w:sz w:val="20"/>
          <w:szCs w:val="20"/>
        </w:rPr>
      </w:pPr>
    </w:p>
    <w:p w:rsidR="00711297" w:rsidRPr="00831F2B" w:rsidRDefault="00711297" w:rsidP="00986843">
      <w:pPr>
        <w:tabs>
          <w:tab w:val="num" w:pos="540"/>
        </w:tabs>
        <w:jc w:val="both"/>
        <w:rPr>
          <w:rFonts w:ascii="Tahoma" w:hAnsi="Tahoma" w:cs="Tahoma"/>
          <w:sz w:val="20"/>
          <w:szCs w:val="20"/>
        </w:rPr>
      </w:pPr>
      <w:r w:rsidRPr="00831F2B">
        <w:rPr>
          <w:rFonts w:ascii="Tahoma" w:hAnsi="Tahoma" w:cs="Tahoma"/>
          <w:sz w:val="20"/>
          <w:szCs w:val="20"/>
        </w:rPr>
        <w:t>Regístrese, comuníquese y publíquese.</w:t>
      </w:r>
    </w:p>
    <w:p w:rsidR="00711297" w:rsidRPr="00831F2B" w:rsidRDefault="00711297" w:rsidP="00986843">
      <w:pPr>
        <w:tabs>
          <w:tab w:val="num" w:pos="540"/>
        </w:tabs>
        <w:jc w:val="both"/>
        <w:rPr>
          <w:rFonts w:ascii="Tahoma" w:hAnsi="Tahoma" w:cs="Tahoma"/>
          <w:sz w:val="20"/>
          <w:szCs w:val="20"/>
        </w:rPr>
      </w:pPr>
    </w:p>
    <w:p w:rsidR="00711297" w:rsidRPr="00831F2B" w:rsidRDefault="00711297" w:rsidP="00986843">
      <w:pPr>
        <w:jc w:val="both"/>
        <w:rPr>
          <w:rFonts w:ascii="Tahoma" w:hAnsi="Tahoma" w:cs="Tahoma"/>
          <w:b/>
          <w:shadow/>
          <w:sz w:val="20"/>
          <w:szCs w:val="20"/>
          <w:lang w:val="pt-BR"/>
        </w:rPr>
      </w:pPr>
    </w:p>
    <w:p w:rsidR="00711297" w:rsidRPr="00831F2B" w:rsidRDefault="00711297" w:rsidP="00986843">
      <w:pPr>
        <w:jc w:val="both"/>
        <w:rPr>
          <w:rFonts w:ascii="Tahoma" w:hAnsi="Tahoma" w:cs="Tahoma"/>
          <w:b/>
          <w:shadow/>
          <w:sz w:val="20"/>
          <w:szCs w:val="20"/>
          <w:lang w:val="pt-BR"/>
        </w:rPr>
      </w:pPr>
    </w:p>
    <w:p w:rsidR="00101193" w:rsidRPr="00831F2B" w:rsidRDefault="00101193" w:rsidP="00986843">
      <w:pPr>
        <w:jc w:val="both"/>
        <w:rPr>
          <w:rFonts w:ascii="Tahoma" w:hAnsi="Tahoma" w:cs="Tahoma"/>
          <w:b/>
          <w:shadow/>
          <w:sz w:val="20"/>
          <w:szCs w:val="20"/>
          <w:lang w:val="pt-BR"/>
        </w:rPr>
      </w:pPr>
    </w:p>
    <w:p w:rsidR="0077221D" w:rsidRPr="00831F2B" w:rsidRDefault="0077221D" w:rsidP="00986843">
      <w:pPr>
        <w:jc w:val="both"/>
        <w:rPr>
          <w:rFonts w:ascii="Tahoma" w:hAnsi="Tahoma" w:cs="Tahoma"/>
          <w:b/>
          <w:shadow/>
          <w:sz w:val="20"/>
          <w:szCs w:val="20"/>
          <w:lang w:val="pt-BR"/>
        </w:rPr>
      </w:pPr>
    </w:p>
    <w:p w:rsidR="0077221D" w:rsidRPr="00831F2B" w:rsidRDefault="0077221D" w:rsidP="00986843">
      <w:pPr>
        <w:jc w:val="both"/>
        <w:rPr>
          <w:rFonts w:ascii="Tahoma" w:hAnsi="Tahoma" w:cs="Tahoma"/>
          <w:b/>
          <w:shadow/>
          <w:sz w:val="20"/>
          <w:szCs w:val="20"/>
          <w:lang w:val="pt-BR"/>
        </w:rPr>
      </w:pPr>
    </w:p>
    <w:p w:rsidR="00101193" w:rsidRPr="00831F2B" w:rsidRDefault="00101193" w:rsidP="00986843">
      <w:pPr>
        <w:jc w:val="both"/>
        <w:rPr>
          <w:rFonts w:ascii="Tahoma" w:hAnsi="Tahoma" w:cs="Tahoma"/>
          <w:b/>
          <w:shadow/>
          <w:sz w:val="20"/>
          <w:szCs w:val="20"/>
          <w:lang w:val="pt-BR"/>
        </w:rPr>
      </w:pPr>
    </w:p>
    <w:p w:rsidR="00101193" w:rsidRPr="00831F2B" w:rsidRDefault="00101193" w:rsidP="00986843">
      <w:pPr>
        <w:jc w:val="both"/>
        <w:rPr>
          <w:rFonts w:ascii="Tahoma" w:hAnsi="Tahoma" w:cs="Tahoma"/>
          <w:b/>
          <w:shadow/>
          <w:sz w:val="20"/>
          <w:szCs w:val="20"/>
          <w:lang w:val="pt-BR"/>
        </w:rPr>
      </w:pPr>
    </w:p>
    <w:p w:rsidR="00711297" w:rsidRPr="00831F2B" w:rsidRDefault="00711297" w:rsidP="00986843">
      <w:pPr>
        <w:jc w:val="both"/>
        <w:rPr>
          <w:rFonts w:ascii="Tahoma" w:hAnsi="Tahoma" w:cs="Tahoma"/>
          <w:b/>
          <w:shadow/>
          <w:sz w:val="20"/>
          <w:szCs w:val="20"/>
          <w:lang w:val="pt-BR"/>
        </w:rPr>
      </w:pPr>
    </w:p>
    <w:p w:rsidR="00711297" w:rsidRPr="00831F2B" w:rsidRDefault="00711297" w:rsidP="00491A1B">
      <w:pPr>
        <w:pStyle w:val="Prrafodelista"/>
        <w:jc w:val="center"/>
        <w:rPr>
          <w:rFonts w:ascii="Tahoma" w:hAnsi="Tahoma" w:cs="Tahoma"/>
          <w:b/>
          <w:shadow/>
          <w:sz w:val="20"/>
          <w:szCs w:val="20"/>
          <w:lang w:val="pt-BR"/>
        </w:rPr>
      </w:pPr>
      <w:r w:rsidRPr="00831F2B">
        <w:rPr>
          <w:rFonts w:ascii="Tahoma" w:hAnsi="Tahoma" w:cs="Tahoma"/>
          <w:b/>
          <w:shadow/>
          <w:sz w:val="20"/>
          <w:szCs w:val="20"/>
          <w:lang w:val="pt-BR"/>
        </w:rPr>
        <w:t>PRESIDENTE</w:t>
      </w:r>
    </w:p>
    <w:p w:rsidR="00711297" w:rsidRPr="00831F2B" w:rsidRDefault="00711297" w:rsidP="00491A1B">
      <w:pPr>
        <w:pStyle w:val="Prrafodelista"/>
        <w:jc w:val="center"/>
        <w:rPr>
          <w:rFonts w:ascii="Tahoma" w:hAnsi="Tahoma" w:cs="Tahoma"/>
          <w:b/>
          <w:shadow/>
          <w:sz w:val="20"/>
          <w:szCs w:val="20"/>
          <w:lang w:val="pt-BR"/>
        </w:rPr>
      </w:pPr>
    </w:p>
    <w:p w:rsidR="00711297" w:rsidRPr="00831F2B" w:rsidRDefault="00711297" w:rsidP="00491A1B">
      <w:pPr>
        <w:pStyle w:val="Prrafodelista"/>
        <w:jc w:val="center"/>
        <w:rPr>
          <w:rFonts w:ascii="Tahoma" w:hAnsi="Tahoma" w:cs="Tahoma"/>
          <w:b/>
          <w:shadow/>
          <w:sz w:val="20"/>
          <w:szCs w:val="20"/>
          <w:lang w:val="pt-BR"/>
        </w:rPr>
      </w:pPr>
    </w:p>
    <w:p w:rsidR="00711297" w:rsidRPr="00831F2B" w:rsidRDefault="00711297" w:rsidP="00491A1B">
      <w:pPr>
        <w:ind w:left="360"/>
        <w:jc w:val="center"/>
        <w:rPr>
          <w:rFonts w:ascii="Tahoma" w:hAnsi="Tahoma" w:cs="Tahoma"/>
          <w:b/>
          <w:shadow/>
          <w:sz w:val="20"/>
          <w:szCs w:val="20"/>
          <w:lang w:val="pt-BR"/>
        </w:rPr>
      </w:pPr>
    </w:p>
    <w:p w:rsidR="00711297" w:rsidRPr="00831F2B" w:rsidRDefault="00711297" w:rsidP="00491A1B">
      <w:pPr>
        <w:jc w:val="center"/>
        <w:rPr>
          <w:rFonts w:ascii="Tahoma" w:hAnsi="Tahoma" w:cs="Tahoma"/>
          <w:b/>
          <w:shadow/>
          <w:sz w:val="20"/>
          <w:szCs w:val="20"/>
          <w:lang w:val="pt-BR"/>
        </w:rPr>
      </w:pPr>
    </w:p>
    <w:p w:rsidR="00711297" w:rsidRPr="00831F2B" w:rsidRDefault="00711297" w:rsidP="00491A1B">
      <w:pPr>
        <w:ind w:left="708" w:hanging="708"/>
        <w:jc w:val="center"/>
        <w:rPr>
          <w:rFonts w:ascii="Tahoma" w:hAnsi="Tahoma" w:cs="Tahoma"/>
          <w:b/>
          <w:shadow/>
          <w:sz w:val="20"/>
          <w:szCs w:val="20"/>
          <w:lang w:val="pt-BR"/>
        </w:rPr>
      </w:pPr>
      <w:r w:rsidRPr="00831F2B">
        <w:rPr>
          <w:rFonts w:ascii="Tahoma" w:hAnsi="Tahoma" w:cs="Tahoma"/>
          <w:b/>
          <w:shadow/>
          <w:sz w:val="20"/>
          <w:szCs w:val="20"/>
          <w:lang w:val="pt-BR"/>
        </w:rPr>
        <w:t>VOCAL                                                                                                 VOCAL</w:t>
      </w:r>
    </w:p>
    <w:p w:rsidR="00711297" w:rsidRPr="00831F2B" w:rsidRDefault="00711297" w:rsidP="00986843">
      <w:pPr>
        <w:ind w:left="360"/>
        <w:jc w:val="both"/>
        <w:rPr>
          <w:rFonts w:ascii="Tahoma" w:hAnsi="Tahoma" w:cs="Tahoma"/>
          <w:shadow/>
          <w:sz w:val="20"/>
          <w:szCs w:val="20"/>
          <w:lang w:val="pt-BR"/>
        </w:rPr>
      </w:pPr>
    </w:p>
    <w:p w:rsidR="00162FCA" w:rsidRPr="00831F2B" w:rsidRDefault="00162FCA" w:rsidP="00986843">
      <w:pPr>
        <w:ind w:left="360"/>
        <w:jc w:val="both"/>
        <w:rPr>
          <w:rFonts w:ascii="Tahoma" w:hAnsi="Tahoma" w:cs="Tahoma"/>
          <w:shadow/>
          <w:sz w:val="20"/>
          <w:szCs w:val="20"/>
          <w:lang w:val="pt-BR"/>
        </w:rPr>
      </w:pPr>
    </w:p>
    <w:p w:rsidR="00162FCA" w:rsidRPr="00831F2B" w:rsidRDefault="00162FCA" w:rsidP="00986843">
      <w:pPr>
        <w:ind w:left="360"/>
        <w:jc w:val="both"/>
        <w:rPr>
          <w:rFonts w:ascii="Tahoma" w:hAnsi="Tahoma" w:cs="Tahoma"/>
          <w:shadow/>
          <w:sz w:val="20"/>
          <w:szCs w:val="20"/>
          <w:lang w:val="pt-BR"/>
        </w:rPr>
      </w:pPr>
    </w:p>
    <w:p w:rsidR="00C46DE3" w:rsidRPr="00831F2B" w:rsidRDefault="00C46DE3" w:rsidP="00C46DE3">
      <w:pPr>
        <w:pStyle w:val="Textoindependiente21"/>
        <w:rPr>
          <w:rFonts w:cs="Tahoma"/>
          <w:sz w:val="20"/>
          <w:lang w:val="pt-BR"/>
        </w:rPr>
      </w:pPr>
    </w:p>
    <w:p w:rsidR="00C46DE3" w:rsidRPr="00831F2B" w:rsidRDefault="00C46DE3" w:rsidP="00C46DE3">
      <w:pPr>
        <w:pStyle w:val="Textoindependiente21"/>
        <w:rPr>
          <w:rFonts w:cs="Tahoma"/>
          <w:sz w:val="20"/>
          <w:lang w:val="pt-BR"/>
        </w:rPr>
      </w:pPr>
      <w:r w:rsidRPr="00831F2B">
        <w:rPr>
          <w:rFonts w:cs="Tahoma"/>
          <w:sz w:val="20"/>
          <w:lang w:val="pt-BR"/>
        </w:rPr>
        <w:t>ss.</w:t>
      </w:r>
    </w:p>
    <w:p w:rsidR="00C46DE3" w:rsidRPr="00831F2B" w:rsidRDefault="00C46DE3" w:rsidP="00C46DE3">
      <w:pPr>
        <w:pStyle w:val="Textoindependiente21"/>
        <w:rPr>
          <w:rFonts w:cs="Tahoma"/>
          <w:sz w:val="20"/>
          <w:lang w:val="pt-BR"/>
        </w:rPr>
      </w:pPr>
      <w:r w:rsidRPr="00831F2B">
        <w:rPr>
          <w:rFonts w:cs="Tahoma"/>
          <w:sz w:val="20"/>
          <w:lang w:val="pt-BR"/>
        </w:rPr>
        <w:t>Navas Rondón</w:t>
      </w:r>
    </w:p>
    <w:p w:rsidR="002C6D86" w:rsidRDefault="005673D8" w:rsidP="005673D8">
      <w:pPr>
        <w:pStyle w:val="Textoindependiente21"/>
        <w:rPr>
          <w:rFonts w:cs="Tahoma"/>
          <w:sz w:val="20"/>
          <w:lang w:val="pt-BR"/>
        </w:rPr>
      </w:pPr>
      <w:r w:rsidRPr="005673D8">
        <w:rPr>
          <w:rFonts w:cs="Tahoma"/>
          <w:sz w:val="20"/>
          <w:lang w:val="pt-BR"/>
        </w:rPr>
        <w:t>Ramírez Maynetto</w:t>
      </w:r>
    </w:p>
    <w:p w:rsidR="00212795" w:rsidRDefault="00212795" w:rsidP="00212795">
      <w:pPr>
        <w:jc w:val="both"/>
        <w:rPr>
          <w:rFonts w:ascii="Tahoma" w:hAnsi="Tahoma" w:cs="Tahoma"/>
          <w:color w:val="000000"/>
          <w:sz w:val="20"/>
          <w:szCs w:val="20"/>
        </w:rPr>
      </w:pPr>
      <w:r w:rsidRPr="00B038C8">
        <w:rPr>
          <w:rFonts w:ascii="Tahoma" w:hAnsi="Tahoma" w:cs="Tahoma"/>
          <w:color w:val="000000"/>
          <w:sz w:val="20"/>
          <w:szCs w:val="20"/>
        </w:rPr>
        <w:t>Isasi Berrospi</w:t>
      </w:r>
      <w:r>
        <w:rPr>
          <w:rFonts w:ascii="Tahoma" w:hAnsi="Tahoma" w:cs="Tahoma"/>
          <w:color w:val="000000"/>
          <w:sz w:val="20"/>
          <w:szCs w:val="20"/>
        </w:rPr>
        <w:t>.</w:t>
      </w:r>
    </w:p>
    <w:p w:rsidR="00212795" w:rsidRPr="00831F2B" w:rsidRDefault="00212795" w:rsidP="005673D8">
      <w:pPr>
        <w:pStyle w:val="Textoindependiente21"/>
        <w:rPr>
          <w:rFonts w:cs="Tahoma"/>
          <w:sz w:val="20"/>
        </w:rPr>
      </w:pPr>
    </w:p>
    <w:sectPr w:rsidR="00212795" w:rsidRPr="00831F2B" w:rsidSect="00904E87">
      <w:headerReference w:type="default" r:id="rId7"/>
      <w:footerReference w:type="default" r:id="rId8"/>
      <w:pgSz w:w="11906" w:h="16838"/>
      <w:pgMar w:top="3403"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123" w:rsidRDefault="00A40123" w:rsidP="00711297">
      <w:r>
        <w:separator/>
      </w:r>
    </w:p>
  </w:endnote>
  <w:endnote w:type="continuationSeparator" w:id="1">
    <w:p w:rsidR="00A40123" w:rsidRDefault="00A40123" w:rsidP="00711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313"/>
      <w:docPartObj>
        <w:docPartGallery w:val="Page Numbers (Bottom of Page)"/>
        <w:docPartUnique/>
      </w:docPartObj>
    </w:sdtPr>
    <w:sdtContent>
      <w:p w:rsidR="00491A1B" w:rsidRDefault="008D0CBB">
        <w:pPr>
          <w:pStyle w:val="Piedepgina"/>
          <w:jc w:val="center"/>
        </w:pPr>
        <w:fldSimple w:instr=" PAGE   \* MERGEFORMAT ">
          <w:r w:rsidR="00493A8B">
            <w:rPr>
              <w:noProof/>
            </w:rPr>
            <w:t>1</w:t>
          </w:r>
        </w:fldSimple>
      </w:p>
    </w:sdtContent>
  </w:sdt>
  <w:p w:rsidR="00904E87" w:rsidRDefault="00A4012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123" w:rsidRDefault="00A40123" w:rsidP="00711297">
      <w:r>
        <w:separator/>
      </w:r>
    </w:p>
  </w:footnote>
  <w:footnote w:type="continuationSeparator" w:id="1">
    <w:p w:rsidR="00A40123" w:rsidRDefault="00A40123" w:rsidP="00711297">
      <w:r>
        <w:continuationSeparator/>
      </w:r>
    </w:p>
  </w:footnote>
  <w:footnote w:id="2">
    <w:p w:rsidR="00831F2B" w:rsidRPr="004A0F8D" w:rsidRDefault="00831F2B" w:rsidP="00831F2B">
      <w:pPr>
        <w:pStyle w:val="Textonotapie"/>
        <w:rPr>
          <w:rFonts w:cs="Tahoma"/>
          <w:sz w:val="16"/>
          <w:szCs w:val="16"/>
          <w:lang w:val="es-PE"/>
        </w:rPr>
      </w:pPr>
      <w:r w:rsidRPr="00370D26">
        <w:rPr>
          <w:rStyle w:val="Refdenotaalpie"/>
          <w:rFonts w:cs="Tahoma"/>
          <w:sz w:val="16"/>
          <w:szCs w:val="16"/>
        </w:rPr>
        <w:footnoteRef/>
      </w:r>
      <w:r w:rsidRPr="00370D26">
        <w:rPr>
          <w:rFonts w:cs="Tahoma"/>
          <w:b/>
          <w:sz w:val="16"/>
          <w:szCs w:val="16"/>
        </w:rPr>
        <w:t xml:space="preserve"> </w:t>
      </w:r>
      <w:r w:rsidRPr="004A0F8D">
        <w:rPr>
          <w:rFonts w:cs="Tahoma"/>
          <w:b/>
          <w:sz w:val="16"/>
          <w:szCs w:val="16"/>
          <w:lang w:val="es-PE"/>
        </w:rPr>
        <w:t>Artículo 249.- Recurso de Reconsideración.-</w:t>
      </w:r>
      <w:r w:rsidRPr="004A0F8D">
        <w:rPr>
          <w:rFonts w:cs="Tahoma"/>
          <w:sz w:val="16"/>
          <w:szCs w:val="16"/>
          <w:lang w:val="es-PE"/>
        </w:rPr>
        <w:t xml:space="preserve"> Contra lo resuelto por el Tribunal en un procedimiento sancionador podrá interponerse Recurso de Reconsideración dentro de los cinco (5) días hábiles de notificada o publicada la respectiva resolución. (…)</w:t>
      </w:r>
    </w:p>
    <w:p w:rsidR="00831F2B" w:rsidRPr="004A0F8D" w:rsidRDefault="00831F2B" w:rsidP="00831F2B">
      <w:pPr>
        <w:pStyle w:val="Textonotapie"/>
        <w:rPr>
          <w:rFonts w:cs="Tahoma"/>
          <w:sz w:val="16"/>
          <w:szCs w:val="16"/>
          <w:lang w:val="es-PE"/>
        </w:rPr>
      </w:pPr>
      <w:r w:rsidRPr="004A0F8D">
        <w:rPr>
          <w:rFonts w:cs="Tahoma"/>
          <w:sz w:val="16"/>
          <w:szCs w:val="16"/>
          <w:lang w:val="es-PE"/>
        </w:rPr>
        <w:t>El tribunal resolverá dentro del plazo de quince (15) días hábiles improrrogables de presentado sin observaciones o subsanado el recurso de reconsideración.</w:t>
      </w:r>
    </w:p>
    <w:p w:rsidR="00831F2B" w:rsidRPr="00C95E38" w:rsidRDefault="00831F2B" w:rsidP="00831F2B">
      <w:pPr>
        <w:pStyle w:val="Textonotapie"/>
        <w:ind w:left="180"/>
        <w:rPr>
          <w:rFonts w:cs="Tahoma"/>
          <w:i/>
        </w:rPr>
      </w:pPr>
    </w:p>
  </w:footnote>
  <w:footnote w:id="3">
    <w:p w:rsidR="00831F2B" w:rsidRPr="007C6B0C" w:rsidRDefault="00831F2B" w:rsidP="00831F2B">
      <w:pPr>
        <w:pStyle w:val="Sinespaciado"/>
        <w:jc w:val="both"/>
        <w:rPr>
          <w:rFonts w:ascii="Tahoma" w:hAnsi="Tahoma" w:cs="Tahoma"/>
          <w:sz w:val="16"/>
          <w:szCs w:val="16"/>
        </w:rPr>
      </w:pPr>
      <w:r w:rsidRPr="007C6B0C">
        <w:rPr>
          <w:rStyle w:val="Refdenotaalpie"/>
          <w:sz w:val="16"/>
          <w:szCs w:val="16"/>
        </w:rPr>
        <w:footnoteRef/>
      </w:r>
      <w:r w:rsidRPr="007C6B0C">
        <w:rPr>
          <w:sz w:val="16"/>
          <w:szCs w:val="16"/>
        </w:rPr>
        <w:t xml:space="preserve"> </w:t>
      </w:r>
      <w:r w:rsidRPr="007C6B0C">
        <w:rPr>
          <w:rFonts w:ascii="Tahoma" w:hAnsi="Tahoma" w:cs="Tahoma"/>
          <w:b/>
          <w:bCs/>
          <w:sz w:val="16"/>
          <w:szCs w:val="16"/>
        </w:rPr>
        <w:t>Artículo 237.- Infracciones y sanciones administrativas</w:t>
      </w:r>
    </w:p>
    <w:p w:rsidR="00831F2B" w:rsidRPr="007C6B0C" w:rsidRDefault="00831F2B" w:rsidP="00831F2B">
      <w:pPr>
        <w:pStyle w:val="Sinespaciado"/>
        <w:jc w:val="both"/>
        <w:rPr>
          <w:rFonts w:ascii="Tahoma" w:hAnsi="Tahoma" w:cs="Tahoma"/>
          <w:sz w:val="16"/>
          <w:szCs w:val="16"/>
        </w:rPr>
      </w:pPr>
      <w:r w:rsidRPr="007C6B0C">
        <w:rPr>
          <w:rFonts w:ascii="Tahoma" w:hAnsi="Tahoma" w:cs="Tahoma"/>
          <w:sz w:val="16"/>
          <w:szCs w:val="16"/>
        </w:rPr>
        <w:t>1. Infracciones</w:t>
      </w:r>
    </w:p>
    <w:p w:rsidR="00831F2B" w:rsidRPr="007C6B0C" w:rsidRDefault="00831F2B" w:rsidP="00831F2B">
      <w:pPr>
        <w:pStyle w:val="Sinespaciado"/>
        <w:jc w:val="both"/>
        <w:rPr>
          <w:rFonts w:ascii="Tahoma" w:hAnsi="Tahoma" w:cs="Tahoma"/>
          <w:sz w:val="16"/>
          <w:szCs w:val="16"/>
        </w:rPr>
      </w:pPr>
      <w:r w:rsidRPr="007C6B0C">
        <w:rPr>
          <w:rFonts w:ascii="Tahoma" w:hAnsi="Tahoma" w:cs="Tahoma"/>
          <w:sz w:val="16"/>
          <w:szCs w:val="16"/>
        </w:rPr>
        <w:t xml:space="preserve">Se impondrá sanción administrativa a los proveedores, participantes, postores y/o contratistas que: </w:t>
      </w:r>
    </w:p>
    <w:p w:rsidR="00831F2B" w:rsidRDefault="00831F2B" w:rsidP="00831F2B">
      <w:pPr>
        <w:pStyle w:val="Textonotapie"/>
        <w:tabs>
          <w:tab w:val="left" w:pos="284"/>
        </w:tabs>
        <w:ind w:left="284" w:hanging="284"/>
      </w:pPr>
      <w:r w:rsidRPr="007C6B0C">
        <w:rPr>
          <w:rFonts w:cs="Tahoma"/>
          <w:sz w:val="16"/>
          <w:szCs w:val="16"/>
        </w:rPr>
        <w:t>a)</w:t>
      </w:r>
      <w:r w:rsidRPr="007C6B0C">
        <w:rPr>
          <w:sz w:val="16"/>
          <w:szCs w:val="16"/>
          <w:lang w:val="es-PE"/>
        </w:rPr>
        <w:tab/>
        <w:t>(…), de resultar ganadores hasta la suscripción del contrato, (…)</w:t>
      </w:r>
    </w:p>
  </w:footnote>
  <w:footnote w:id="4">
    <w:p w:rsidR="00831F2B" w:rsidRPr="002C43F1" w:rsidRDefault="00831F2B" w:rsidP="00831F2B">
      <w:pPr>
        <w:pStyle w:val="Textonotapie"/>
        <w:tabs>
          <w:tab w:val="left" w:pos="360"/>
        </w:tabs>
        <w:ind w:left="180" w:hanging="180"/>
        <w:rPr>
          <w:rFonts w:cs="Tahoma"/>
          <w:sz w:val="16"/>
          <w:szCs w:val="16"/>
          <w:lang w:val="es-ES_tradnl"/>
        </w:rPr>
      </w:pPr>
      <w:r w:rsidRPr="002C43F1">
        <w:rPr>
          <w:rStyle w:val="Refdenotaalpie"/>
          <w:sz w:val="16"/>
          <w:szCs w:val="16"/>
        </w:rPr>
        <w:footnoteRef/>
      </w:r>
      <w:r w:rsidRPr="002C43F1">
        <w:rPr>
          <w:sz w:val="16"/>
          <w:szCs w:val="16"/>
        </w:rPr>
        <w:t xml:space="preserve"> </w:t>
      </w:r>
      <w:r>
        <w:rPr>
          <w:sz w:val="16"/>
          <w:szCs w:val="16"/>
        </w:rPr>
        <w:t xml:space="preserve"> </w:t>
      </w:r>
      <w:r w:rsidRPr="002C43F1">
        <w:rPr>
          <w:rFonts w:cs="Tahoma"/>
          <w:sz w:val="16"/>
          <w:szCs w:val="16"/>
          <w:lang w:val="es-ES_tradnl"/>
        </w:rPr>
        <w:t xml:space="preserve">Sobre el particular, el numeral 1.2 del Artículo IV del Título Preliminar de la Ley del  Procedimiento Administrativo General establece que los administrados gozan de todos los derechos y garantías inherentes al debido procedimiento administrativo, que comprende el derecho a exponer sus argumentos, a ofrecer y producir pruebas </w:t>
      </w:r>
      <w:r w:rsidRPr="002C43F1">
        <w:rPr>
          <w:rFonts w:cs="Tahoma"/>
          <w:sz w:val="16"/>
          <w:szCs w:val="16"/>
          <w:u w:val="single"/>
          <w:lang w:val="es-ES_tradnl"/>
        </w:rPr>
        <w:t>y a obtener una decisión motivada y fundada en derecho</w:t>
      </w:r>
      <w:r w:rsidRPr="002C43F1">
        <w:rPr>
          <w:rFonts w:cs="Tahoma"/>
          <w:sz w:val="16"/>
          <w:szCs w:val="16"/>
          <w:lang w:val="es-ES_tradnl"/>
        </w:rPr>
        <w:t xml:space="preserve">. En la misma línea, el numeral 4 del artículo 3 del citado cuerpo legal prescribe que </w:t>
      </w:r>
      <w:r w:rsidRPr="002C43F1">
        <w:rPr>
          <w:rFonts w:cs="Tahoma"/>
          <w:sz w:val="16"/>
          <w:szCs w:val="16"/>
          <w:u w:val="single"/>
          <w:lang w:val="es-ES_tradnl"/>
        </w:rPr>
        <w:t>el acto administrativo debe estar debidamente motivado</w:t>
      </w:r>
      <w:r w:rsidRPr="002C43F1">
        <w:rPr>
          <w:rFonts w:cs="Tahoma"/>
          <w:sz w:val="16"/>
          <w:szCs w:val="16"/>
          <w:lang w:val="es-ES_tradnl"/>
        </w:rPr>
        <w:t xml:space="preserve"> en proporción al contenido y conforme al ordenamiento jurídico.</w:t>
      </w:r>
    </w:p>
    <w:p w:rsidR="00831F2B" w:rsidRPr="002C43F1" w:rsidRDefault="00831F2B" w:rsidP="00831F2B">
      <w:pPr>
        <w:pStyle w:val="Textonotapie"/>
        <w:ind w:left="180" w:hanging="180"/>
        <w:rPr>
          <w:rFonts w:cs="Tahoma"/>
          <w:sz w:val="16"/>
          <w:szCs w:val="16"/>
          <w:lang w:val="es-ES_tradnl"/>
        </w:rPr>
      </w:pPr>
      <w:r w:rsidRPr="002C43F1">
        <w:rPr>
          <w:rFonts w:cs="Tahoma"/>
          <w:sz w:val="16"/>
          <w:szCs w:val="16"/>
          <w:lang w:val="es-ES_tradnl"/>
        </w:rPr>
        <w:t xml:space="preserve"> </w:t>
      </w:r>
    </w:p>
  </w:footnote>
  <w:footnote w:id="5">
    <w:p w:rsidR="00831F2B" w:rsidRPr="00BC75D6" w:rsidRDefault="00831F2B" w:rsidP="00831F2B">
      <w:pPr>
        <w:pStyle w:val="Textonotapie"/>
        <w:ind w:left="180" w:hanging="180"/>
        <w:rPr>
          <w:rFonts w:cs="Tahoma"/>
          <w:sz w:val="18"/>
          <w:szCs w:val="18"/>
          <w:lang w:val="es-ES_tradnl"/>
        </w:rPr>
      </w:pPr>
      <w:r w:rsidRPr="002C43F1">
        <w:rPr>
          <w:rStyle w:val="Refdenotaalpie"/>
          <w:rFonts w:cs="Tahoma"/>
          <w:sz w:val="16"/>
          <w:szCs w:val="16"/>
        </w:rPr>
        <w:footnoteRef/>
      </w:r>
      <w:r w:rsidRPr="002C43F1">
        <w:rPr>
          <w:rFonts w:cs="Tahoma"/>
          <w:sz w:val="16"/>
          <w:szCs w:val="16"/>
        </w:rPr>
        <w:t xml:space="preserve">  </w:t>
      </w:r>
      <w:r>
        <w:rPr>
          <w:rFonts w:cs="Tahoma"/>
          <w:sz w:val="16"/>
          <w:szCs w:val="16"/>
        </w:rPr>
        <w:t xml:space="preserve"> </w:t>
      </w:r>
      <w:r w:rsidRPr="002C43F1">
        <w:rPr>
          <w:rFonts w:cs="Tahoma"/>
          <w:sz w:val="16"/>
          <w:szCs w:val="16"/>
          <w:lang w:val="es-ES_tradnl"/>
        </w:rPr>
        <w:t xml:space="preserve">Cabe traer a colación el artículo 208 de la Ley № 27444, Ley del Procedimiento Administrativo General, que dispone que el recurso de reconsideración se interpondrá ante el mismo órgano que dictó el acto que es materia de impugnación y </w:t>
      </w:r>
      <w:r w:rsidRPr="002C43F1">
        <w:rPr>
          <w:rFonts w:cs="Tahoma"/>
          <w:sz w:val="16"/>
          <w:szCs w:val="16"/>
          <w:u w:val="single"/>
          <w:lang w:val="es-ES_tradnl"/>
        </w:rPr>
        <w:t>deberá sustentarse en nueva prueba</w:t>
      </w:r>
      <w:r w:rsidRPr="002C43F1">
        <w:rPr>
          <w:rFonts w:cs="Tahoma"/>
          <w:sz w:val="16"/>
          <w:szCs w:val="16"/>
          <w:lang w:val="es-ES_tradnl"/>
        </w:rPr>
        <w:t xml:space="preserve">. </w:t>
      </w:r>
    </w:p>
  </w:footnote>
  <w:footnote w:id="6">
    <w:p w:rsidR="00831F2B" w:rsidRDefault="00831F2B" w:rsidP="00831F2B">
      <w:pPr>
        <w:pStyle w:val="Textonotapie"/>
      </w:pPr>
      <w:r>
        <w:rPr>
          <w:rStyle w:val="Refdenotaalpie"/>
        </w:rPr>
        <w:footnoteRef/>
      </w:r>
      <w:r>
        <w:t xml:space="preserve"> </w:t>
      </w:r>
      <w:r>
        <w:rPr>
          <w:sz w:val="16"/>
          <w:szCs w:val="16"/>
        </w:rPr>
        <w:t xml:space="preserve">Ver </w:t>
      </w:r>
      <w:r w:rsidRPr="000D539F">
        <w:rPr>
          <w:sz w:val="16"/>
          <w:szCs w:val="16"/>
        </w:rPr>
        <w:t>Oficio № 288-2010-PCM/OAA notificado el 13 de septiembre de 2010</w:t>
      </w:r>
      <w:r>
        <w:rPr>
          <w:sz w:val="16"/>
          <w:szCs w:val="16"/>
        </w:rPr>
        <w:t>, documento obrante en el expediente administrativo a folio 014.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A8B" w:rsidRDefault="00493A8B" w:rsidP="00493A8B">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493A8B" w:rsidRDefault="00493A8B" w:rsidP="00493A8B">
    <w:pPr>
      <w:pStyle w:val="Encabezado"/>
      <w:rPr>
        <w:noProof/>
      </w:rPr>
    </w:pPr>
  </w:p>
  <w:p w:rsidR="00493A8B" w:rsidRDefault="00493A8B" w:rsidP="00493A8B">
    <w:pPr>
      <w:pStyle w:val="Encabezado"/>
      <w:rPr>
        <w:noProof/>
      </w:rPr>
    </w:pPr>
  </w:p>
  <w:p w:rsidR="00493A8B" w:rsidRDefault="00493A8B" w:rsidP="00493A8B">
    <w:pPr>
      <w:pStyle w:val="Encabezado"/>
      <w:rPr>
        <w:noProof/>
      </w:rPr>
    </w:pPr>
  </w:p>
  <w:p w:rsidR="00493A8B" w:rsidRDefault="00493A8B" w:rsidP="00493A8B">
    <w:pPr>
      <w:pStyle w:val="Encabezado"/>
      <w:jc w:val="center"/>
    </w:pPr>
    <w:r>
      <w:rPr>
        <w:rFonts w:ascii="Monotype Corsiva" w:hAnsi="Monotype Corsiva"/>
        <w:b/>
        <w:sz w:val="44"/>
        <w:szCs w:val="44"/>
      </w:rPr>
      <w:t xml:space="preserve">Resolución Nº   </w:t>
    </w:r>
    <w:r>
      <w:rPr>
        <w:rFonts w:ascii="Tahoma" w:hAnsi="Tahoma" w:cs="Tahoma"/>
        <w:b/>
        <w:sz w:val="44"/>
        <w:szCs w:val="44"/>
      </w:rPr>
      <w:t>707-2011-TC-S1</w:t>
    </w:r>
  </w:p>
  <w:p w:rsidR="00493A8B" w:rsidRDefault="00493A8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1100"/>
    <w:multiLevelType w:val="hybridMultilevel"/>
    <w:tmpl w:val="E3501DDE"/>
    <w:lvl w:ilvl="0" w:tplc="0C0A0017">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094E2944"/>
    <w:multiLevelType w:val="hybridMultilevel"/>
    <w:tmpl w:val="51080654"/>
    <w:lvl w:ilvl="0" w:tplc="110415B6">
      <w:start w:val="1"/>
      <w:numFmt w:val="decimal"/>
      <w:lvlText w:val="%1."/>
      <w:lvlJc w:val="left"/>
      <w:pPr>
        <w:tabs>
          <w:tab w:val="num" w:pos="720"/>
        </w:tabs>
        <w:ind w:left="720" w:hanging="360"/>
      </w:pPr>
      <w:rPr>
        <w:rFonts w:ascii="Tahoma" w:hAnsi="Tahoma" w:cs="Tahoma" w:hint="default"/>
        <w:b/>
        <w:i w:val="0"/>
        <w:shadow/>
        <w:sz w:val="20"/>
        <w:szCs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4E642A4"/>
    <w:multiLevelType w:val="hybridMultilevel"/>
    <w:tmpl w:val="B8E84A46"/>
    <w:lvl w:ilvl="0" w:tplc="64C07A18">
      <w:start w:val="1"/>
      <w:numFmt w:val="lowerLetter"/>
      <w:lvlText w:val="%1."/>
      <w:lvlJc w:val="left"/>
      <w:pPr>
        <w:ind w:left="1287" w:hanging="360"/>
      </w:pPr>
    </w:lvl>
    <w:lvl w:ilvl="1" w:tplc="70F2732C" w:tentative="1">
      <w:start w:val="1"/>
      <w:numFmt w:val="lowerLetter"/>
      <w:lvlText w:val="%2."/>
      <w:lvlJc w:val="left"/>
      <w:pPr>
        <w:ind w:left="2007" w:hanging="360"/>
      </w:pPr>
    </w:lvl>
    <w:lvl w:ilvl="2" w:tplc="1068C93C" w:tentative="1">
      <w:start w:val="1"/>
      <w:numFmt w:val="lowerRoman"/>
      <w:lvlText w:val="%3."/>
      <w:lvlJc w:val="right"/>
      <w:pPr>
        <w:ind w:left="2727" w:hanging="180"/>
      </w:pPr>
    </w:lvl>
    <w:lvl w:ilvl="3" w:tplc="213A255C"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30F60E13"/>
    <w:multiLevelType w:val="hybridMultilevel"/>
    <w:tmpl w:val="D39495C2"/>
    <w:lvl w:ilvl="0" w:tplc="BC464342">
      <w:start w:val="1"/>
      <w:numFmt w:val="lowerRoman"/>
      <w:lvlText w:val="%1."/>
      <w:lvlJc w:val="right"/>
      <w:pPr>
        <w:ind w:left="927" w:hanging="360"/>
      </w:pPr>
      <w:rPr>
        <w:rFonts w:hint="default"/>
        <w:b/>
        <w:i w:val="0"/>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nsid w:val="353575A8"/>
    <w:multiLevelType w:val="hybridMultilevel"/>
    <w:tmpl w:val="54F0E0A2"/>
    <w:lvl w:ilvl="0" w:tplc="64C07A18">
      <w:start w:val="1"/>
      <w:numFmt w:val="decimal"/>
      <w:lvlText w:val="%1."/>
      <w:lvlJc w:val="left"/>
      <w:pPr>
        <w:ind w:left="360" w:hanging="360"/>
      </w:pPr>
      <w:rPr>
        <w:b/>
      </w:rPr>
    </w:lvl>
    <w:lvl w:ilvl="1" w:tplc="70F2732C" w:tentative="1">
      <w:start w:val="1"/>
      <w:numFmt w:val="lowerLetter"/>
      <w:lvlText w:val="%2."/>
      <w:lvlJc w:val="left"/>
      <w:pPr>
        <w:ind w:left="1080" w:hanging="360"/>
      </w:pPr>
    </w:lvl>
    <w:lvl w:ilvl="2" w:tplc="1068C93C" w:tentative="1">
      <w:start w:val="1"/>
      <w:numFmt w:val="lowerRoman"/>
      <w:lvlText w:val="%3."/>
      <w:lvlJc w:val="right"/>
      <w:pPr>
        <w:ind w:left="1800" w:hanging="180"/>
      </w:pPr>
    </w:lvl>
    <w:lvl w:ilvl="3" w:tplc="213A255C"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36C13996"/>
    <w:multiLevelType w:val="hybridMultilevel"/>
    <w:tmpl w:val="3940A9BE"/>
    <w:lvl w:ilvl="0" w:tplc="5150BA24">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nsid w:val="3B7B237C"/>
    <w:multiLevelType w:val="hybridMultilevel"/>
    <w:tmpl w:val="012444D4"/>
    <w:lvl w:ilvl="0" w:tplc="64C07A18">
      <w:start w:val="1"/>
      <w:numFmt w:val="decimal"/>
      <w:lvlText w:val="%1."/>
      <w:lvlJc w:val="left"/>
      <w:pPr>
        <w:tabs>
          <w:tab w:val="num" w:pos="720"/>
        </w:tabs>
        <w:ind w:left="720" w:hanging="360"/>
      </w:pPr>
      <w:rPr>
        <w:b/>
      </w:rPr>
    </w:lvl>
    <w:lvl w:ilvl="1" w:tplc="70F2732C">
      <w:start w:val="1"/>
      <w:numFmt w:val="lowerLetter"/>
      <w:lvlText w:val="%2."/>
      <w:lvlJc w:val="left"/>
      <w:pPr>
        <w:tabs>
          <w:tab w:val="num" w:pos="1440"/>
        </w:tabs>
        <w:ind w:left="1440" w:hanging="360"/>
      </w:pPr>
    </w:lvl>
    <w:lvl w:ilvl="2" w:tplc="1068C93C">
      <w:start w:val="1"/>
      <w:numFmt w:val="lowerLetter"/>
      <w:lvlText w:val="%3)"/>
      <w:lvlJc w:val="left"/>
      <w:pPr>
        <w:tabs>
          <w:tab w:val="num" w:pos="2340"/>
        </w:tabs>
        <w:ind w:left="2340" w:hanging="360"/>
      </w:pPr>
      <w:rPr>
        <w:rFonts w:hint="default"/>
      </w:r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0497296"/>
    <w:multiLevelType w:val="hybridMultilevel"/>
    <w:tmpl w:val="C2221798"/>
    <w:lvl w:ilvl="0" w:tplc="64C07A18">
      <w:start w:val="1"/>
      <w:numFmt w:val="lowerLetter"/>
      <w:lvlText w:val="%1)"/>
      <w:lvlJc w:val="left"/>
      <w:pPr>
        <w:ind w:left="1800" w:hanging="360"/>
      </w:pPr>
      <w:rPr>
        <w:b/>
      </w:rPr>
    </w:lvl>
    <w:lvl w:ilvl="1" w:tplc="70F2732C" w:tentative="1">
      <w:start w:val="1"/>
      <w:numFmt w:val="lowerLetter"/>
      <w:lvlText w:val="%2."/>
      <w:lvlJc w:val="left"/>
      <w:pPr>
        <w:ind w:left="2520" w:hanging="360"/>
      </w:pPr>
    </w:lvl>
    <w:lvl w:ilvl="2" w:tplc="1068C93C" w:tentative="1">
      <w:start w:val="1"/>
      <w:numFmt w:val="lowerRoman"/>
      <w:lvlText w:val="%3."/>
      <w:lvlJc w:val="right"/>
      <w:pPr>
        <w:ind w:left="3240" w:hanging="180"/>
      </w:pPr>
    </w:lvl>
    <w:lvl w:ilvl="3" w:tplc="213A255C"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8">
    <w:nsid w:val="452C5B89"/>
    <w:multiLevelType w:val="hybridMultilevel"/>
    <w:tmpl w:val="3940A9BE"/>
    <w:lvl w:ilvl="0" w:tplc="26EEE608">
      <w:start w:val="1"/>
      <w:numFmt w:val="lowerRoman"/>
      <w:lvlText w:val="%1."/>
      <w:lvlJc w:val="right"/>
      <w:pPr>
        <w:ind w:left="1440" w:hanging="360"/>
      </w:pPr>
      <w:rPr>
        <w:b/>
      </w:rPr>
    </w:lvl>
    <w:lvl w:ilvl="1" w:tplc="51769F8C" w:tentative="1">
      <w:start w:val="1"/>
      <w:numFmt w:val="lowerLetter"/>
      <w:lvlText w:val="%2."/>
      <w:lvlJc w:val="left"/>
      <w:pPr>
        <w:ind w:left="2160" w:hanging="360"/>
      </w:pPr>
    </w:lvl>
    <w:lvl w:ilvl="2" w:tplc="3A8094B6" w:tentative="1">
      <w:start w:val="1"/>
      <w:numFmt w:val="lowerRoman"/>
      <w:lvlText w:val="%3."/>
      <w:lvlJc w:val="right"/>
      <w:pPr>
        <w:ind w:left="2880" w:hanging="180"/>
      </w:pPr>
    </w:lvl>
    <w:lvl w:ilvl="3" w:tplc="90AC9E70" w:tentative="1">
      <w:start w:val="1"/>
      <w:numFmt w:val="decimal"/>
      <w:lvlText w:val="%4."/>
      <w:lvlJc w:val="left"/>
      <w:pPr>
        <w:ind w:left="3600" w:hanging="360"/>
      </w:pPr>
    </w:lvl>
    <w:lvl w:ilvl="4" w:tplc="CC1A8702" w:tentative="1">
      <w:start w:val="1"/>
      <w:numFmt w:val="lowerLetter"/>
      <w:lvlText w:val="%5."/>
      <w:lvlJc w:val="left"/>
      <w:pPr>
        <w:ind w:left="4320" w:hanging="360"/>
      </w:pPr>
    </w:lvl>
    <w:lvl w:ilvl="5" w:tplc="D1F68552" w:tentative="1">
      <w:start w:val="1"/>
      <w:numFmt w:val="lowerRoman"/>
      <w:lvlText w:val="%6."/>
      <w:lvlJc w:val="right"/>
      <w:pPr>
        <w:ind w:left="5040" w:hanging="180"/>
      </w:pPr>
    </w:lvl>
    <w:lvl w:ilvl="6" w:tplc="FE76A0E6" w:tentative="1">
      <w:start w:val="1"/>
      <w:numFmt w:val="decimal"/>
      <w:lvlText w:val="%7."/>
      <w:lvlJc w:val="left"/>
      <w:pPr>
        <w:ind w:left="5760" w:hanging="360"/>
      </w:pPr>
    </w:lvl>
    <w:lvl w:ilvl="7" w:tplc="358CA20A" w:tentative="1">
      <w:start w:val="1"/>
      <w:numFmt w:val="lowerLetter"/>
      <w:lvlText w:val="%8."/>
      <w:lvlJc w:val="left"/>
      <w:pPr>
        <w:ind w:left="6480" w:hanging="360"/>
      </w:pPr>
    </w:lvl>
    <w:lvl w:ilvl="8" w:tplc="DC1A7A36" w:tentative="1">
      <w:start w:val="1"/>
      <w:numFmt w:val="lowerRoman"/>
      <w:lvlText w:val="%9."/>
      <w:lvlJc w:val="right"/>
      <w:pPr>
        <w:ind w:left="7200" w:hanging="180"/>
      </w:pPr>
    </w:lvl>
  </w:abstractNum>
  <w:abstractNum w:abstractNumId="9">
    <w:nsid w:val="53B76387"/>
    <w:multiLevelType w:val="hybridMultilevel"/>
    <w:tmpl w:val="B172E634"/>
    <w:lvl w:ilvl="0" w:tplc="F7B2FA96">
      <w:start w:val="1"/>
      <w:numFmt w:val="decimal"/>
      <w:lvlText w:val="%1."/>
      <w:lvlJc w:val="left"/>
      <w:pPr>
        <w:ind w:left="720" w:hanging="360"/>
      </w:pPr>
      <w:rPr>
        <w:rFonts w:ascii="Tahoma" w:hAnsi="Tahoma" w:cs="Tahoma" w:hint="default"/>
        <w:b/>
        <w:i w:val="0"/>
        <w:color w:val="auto"/>
      </w:rPr>
    </w:lvl>
    <w:lvl w:ilvl="1" w:tplc="29FC20E4">
      <w:start w:val="5"/>
      <w:numFmt w:val="upp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4F73FDD"/>
    <w:multiLevelType w:val="hybridMultilevel"/>
    <w:tmpl w:val="015C6C94"/>
    <w:lvl w:ilvl="0" w:tplc="64C07A18">
      <w:start w:val="1"/>
      <w:numFmt w:val="lowerRoman"/>
      <w:lvlText w:val="%1."/>
      <w:lvlJc w:val="right"/>
      <w:pPr>
        <w:tabs>
          <w:tab w:val="num" w:pos="1287"/>
        </w:tabs>
        <w:ind w:left="1287" w:hanging="720"/>
      </w:pPr>
      <w:rPr>
        <w:rFonts w:hint="default"/>
        <w:b/>
        <w:sz w:val="24"/>
        <w:szCs w:val="24"/>
      </w:rPr>
    </w:lvl>
    <w:lvl w:ilvl="1" w:tplc="70F2732C" w:tentative="1">
      <w:start w:val="1"/>
      <w:numFmt w:val="lowerLetter"/>
      <w:lvlText w:val="%2."/>
      <w:lvlJc w:val="left"/>
      <w:pPr>
        <w:tabs>
          <w:tab w:val="num" w:pos="1647"/>
        </w:tabs>
        <w:ind w:left="1647" w:hanging="360"/>
      </w:pPr>
    </w:lvl>
    <w:lvl w:ilvl="2" w:tplc="1068C93C" w:tentative="1">
      <w:start w:val="1"/>
      <w:numFmt w:val="lowerRoman"/>
      <w:lvlText w:val="%3."/>
      <w:lvlJc w:val="right"/>
      <w:pPr>
        <w:tabs>
          <w:tab w:val="num" w:pos="2367"/>
        </w:tabs>
        <w:ind w:left="2367" w:hanging="180"/>
      </w:pPr>
    </w:lvl>
    <w:lvl w:ilvl="3" w:tplc="213A255C"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1">
    <w:nsid w:val="55706F67"/>
    <w:multiLevelType w:val="hybridMultilevel"/>
    <w:tmpl w:val="C0589430"/>
    <w:lvl w:ilvl="0" w:tplc="64C07A18">
      <w:start w:val="1"/>
      <w:numFmt w:val="decimal"/>
      <w:lvlText w:val="%1."/>
      <w:lvlJc w:val="left"/>
      <w:pPr>
        <w:tabs>
          <w:tab w:val="num" w:pos="720"/>
        </w:tabs>
        <w:ind w:left="720" w:hanging="360"/>
      </w:pPr>
      <w:rPr>
        <w:rFonts w:hint="default"/>
      </w:rPr>
    </w:lvl>
    <w:lvl w:ilvl="1" w:tplc="70F2732C" w:tentative="1">
      <w:start w:val="1"/>
      <w:numFmt w:val="lowerLetter"/>
      <w:lvlText w:val="%2."/>
      <w:lvlJc w:val="left"/>
      <w:pPr>
        <w:tabs>
          <w:tab w:val="num" w:pos="1440"/>
        </w:tabs>
        <w:ind w:left="1440" w:hanging="360"/>
      </w:pPr>
    </w:lvl>
    <w:lvl w:ilvl="2" w:tplc="1068C93C" w:tentative="1">
      <w:start w:val="1"/>
      <w:numFmt w:val="lowerRoman"/>
      <w:lvlText w:val="%3."/>
      <w:lvlJc w:val="right"/>
      <w:pPr>
        <w:tabs>
          <w:tab w:val="num" w:pos="2160"/>
        </w:tabs>
        <w:ind w:left="2160" w:hanging="180"/>
      </w:p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5ACC101E"/>
    <w:multiLevelType w:val="hybridMultilevel"/>
    <w:tmpl w:val="1DCCA2AC"/>
    <w:lvl w:ilvl="0" w:tplc="0C0A0019">
      <w:start w:val="1"/>
      <w:numFmt w:val="lowerRoman"/>
      <w:lvlText w:val="%1."/>
      <w:lvlJc w:val="righ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nsid w:val="5B7855B0"/>
    <w:multiLevelType w:val="hybridMultilevel"/>
    <w:tmpl w:val="32E6EDA2"/>
    <w:lvl w:ilvl="0" w:tplc="C78A915A">
      <w:start w:val="1"/>
      <w:numFmt w:val="lowerLetter"/>
      <w:lvlText w:val="%1)"/>
      <w:lvlJc w:val="left"/>
      <w:pPr>
        <w:ind w:left="3280" w:hanging="360"/>
      </w:pPr>
      <w:rPr>
        <w:rFonts w:hint="default"/>
        <w:b/>
        <w:i w:val="0"/>
        <w:lang w:val="es-ES"/>
      </w:rPr>
    </w:lvl>
    <w:lvl w:ilvl="1" w:tplc="0C0A0019" w:tentative="1">
      <w:start w:val="1"/>
      <w:numFmt w:val="lowerLetter"/>
      <w:lvlText w:val="%2."/>
      <w:lvlJc w:val="left"/>
      <w:pPr>
        <w:ind w:left="4000" w:hanging="360"/>
      </w:pPr>
    </w:lvl>
    <w:lvl w:ilvl="2" w:tplc="0C0A001B" w:tentative="1">
      <w:start w:val="1"/>
      <w:numFmt w:val="lowerRoman"/>
      <w:lvlText w:val="%3."/>
      <w:lvlJc w:val="right"/>
      <w:pPr>
        <w:ind w:left="4720" w:hanging="180"/>
      </w:pPr>
    </w:lvl>
    <w:lvl w:ilvl="3" w:tplc="0C0A000F" w:tentative="1">
      <w:start w:val="1"/>
      <w:numFmt w:val="decimal"/>
      <w:lvlText w:val="%4."/>
      <w:lvlJc w:val="left"/>
      <w:pPr>
        <w:ind w:left="5440" w:hanging="360"/>
      </w:pPr>
    </w:lvl>
    <w:lvl w:ilvl="4" w:tplc="0C0A0019" w:tentative="1">
      <w:start w:val="1"/>
      <w:numFmt w:val="lowerLetter"/>
      <w:lvlText w:val="%5."/>
      <w:lvlJc w:val="left"/>
      <w:pPr>
        <w:ind w:left="6160" w:hanging="360"/>
      </w:pPr>
    </w:lvl>
    <w:lvl w:ilvl="5" w:tplc="0C0A001B" w:tentative="1">
      <w:start w:val="1"/>
      <w:numFmt w:val="lowerRoman"/>
      <w:lvlText w:val="%6."/>
      <w:lvlJc w:val="right"/>
      <w:pPr>
        <w:ind w:left="6880" w:hanging="180"/>
      </w:pPr>
    </w:lvl>
    <w:lvl w:ilvl="6" w:tplc="0C0A000F" w:tentative="1">
      <w:start w:val="1"/>
      <w:numFmt w:val="decimal"/>
      <w:lvlText w:val="%7."/>
      <w:lvlJc w:val="left"/>
      <w:pPr>
        <w:ind w:left="7600" w:hanging="360"/>
      </w:pPr>
    </w:lvl>
    <w:lvl w:ilvl="7" w:tplc="0C0A0019" w:tentative="1">
      <w:start w:val="1"/>
      <w:numFmt w:val="lowerLetter"/>
      <w:lvlText w:val="%8."/>
      <w:lvlJc w:val="left"/>
      <w:pPr>
        <w:ind w:left="8320" w:hanging="360"/>
      </w:pPr>
    </w:lvl>
    <w:lvl w:ilvl="8" w:tplc="0C0A001B" w:tentative="1">
      <w:start w:val="1"/>
      <w:numFmt w:val="lowerRoman"/>
      <w:lvlText w:val="%9."/>
      <w:lvlJc w:val="right"/>
      <w:pPr>
        <w:ind w:left="9040" w:hanging="180"/>
      </w:pPr>
    </w:lvl>
  </w:abstractNum>
  <w:abstractNum w:abstractNumId="14">
    <w:nsid w:val="5E193018"/>
    <w:multiLevelType w:val="hybridMultilevel"/>
    <w:tmpl w:val="CC50CAA0"/>
    <w:lvl w:ilvl="0" w:tplc="B1187586">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nsid w:val="5E1931F5"/>
    <w:multiLevelType w:val="hybridMultilevel"/>
    <w:tmpl w:val="91FA9AB2"/>
    <w:lvl w:ilvl="0" w:tplc="0D7EF60A">
      <w:start w:val="1"/>
      <w:numFmt w:val="decimal"/>
      <w:lvlText w:val="%1."/>
      <w:lvlJc w:val="left"/>
      <w:pPr>
        <w:tabs>
          <w:tab w:val="num" w:pos="360"/>
        </w:tabs>
        <w:ind w:left="360" w:hanging="360"/>
      </w:pPr>
      <w:rPr>
        <w:rFonts w:ascii="Tahoma" w:hAnsi="Tahoma" w:cs="Tahoma" w:hint="default"/>
        <w:b/>
        <w:sz w:val="20"/>
        <w:szCs w:val="20"/>
      </w:rPr>
    </w:lvl>
    <w:lvl w:ilvl="1" w:tplc="0C0A0019">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616122C0"/>
    <w:multiLevelType w:val="hybridMultilevel"/>
    <w:tmpl w:val="22E2C15A"/>
    <w:lvl w:ilvl="0" w:tplc="0C0A0015">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653B5A99"/>
    <w:multiLevelType w:val="hybridMultilevel"/>
    <w:tmpl w:val="7B980FA0"/>
    <w:lvl w:ilvl="0" w:tplc="250A74F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6D30A47"/>
    <w:multiLevelType w:val="hybridMultilevel"/>
    <w:tmpl w:val="DAC09874"/>
    <w:lvl w:ilvl="0" w:tplc="330CB45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6EA50FF8"/>
    <w:multiLevelType w:val="hybridMultilevel"/>
    <w:tmpl w:val="942E561C"/>
    <w:lvl w:ilvl="0" w:tplc="E5BE6922">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6ED82661"/>
    <w:multiLevelType w:val="hybridMultilevel"/>
    <w:tmpl w:val="951AA452"/>
    <w:lvl w:ilvl="0" w:tplc="46B4D042">
      <w:start w:val="1"/>
      <w:numFmt w:val="lowerLetter"/>
      <w:lvlText w:val="%1."/>
      <w:lvlJc w:val="left"/>
      <w:pPr>
        <w:tabs>
          <w:tab w:val="num" w:pos="1440"/>
        </w:tabs>
        <w:ind w:left="1440" w:hanging="360"/>
      </w:pPr>
      <w:rPr>
        <w:b/>
      </w:rPr>
    </w:lvl>
    <w:lvl w:ilvl="1" w:tplc="0C0A0019">
      <w:start w:val="1"/>
      <w:numFmt w:val="lowerLetter"/>
      <w:lvlText w:val="%2."/>
      <w:lvlJc w:val="left"/>
      <w:pPr>
        <w:tabs>
          <w:tab w:val="num" w:pos="1440"/>
        </w:tabs>
        <w:ind w:left="1440" w:hanging="360"/>
      </w:pPr>
    </w:lvl>
    <w:lvl w:ilvl="2" w:tplc="61B4AD0E">
      <w:start w:val="1"/>
      <w:numFmt w:val="decimal"/>
      <w:lvlText w:val="%3."/>
      <w:lvlJc w:val="left"/>
      <w:pPr>
        <w:tabs>
          <w:tab w:val="num" w:pos="2340"/>
        </w:tabs>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7384599B"/>
    <w:multiLevelType w:val="hybridMultilevel"/>
    <w:tmpl w:val="8D5EC736"/>
    <w:lvl w:ilvl="0" w:tplc="F5C055C0">
      <w:start w:val="1"/>
      <w:numFmt w:val="lowerLetter"/>
      <w:lvlText w:val="%1."/>
      <w:lvlJc w:val="left"/>
      <w:pPr>
        <w:ind w:left="1287" w:hanging="360"/>
      </w:pPr>
    </w:lvl>
    <w:lvl w:ilvl="1" w:tplc="0C0A0019">
      <w:start w:val="1"/>
      <w:numFmt w:val="decimal"/>
      <w:lvlText w:val="%2."/>
      <w:lvlJc w:val="left"/>
      <w:pPr>
        <w:tabs>
          <w:tab w:val="num" w:pos="1440"/>
        </w:tabs>
        <w:ind w:left="1440" w:hanging="360"/>
      </w:pPr>
    </w:lvl>
    <w:lvl w:ilvl="2" w:tplc="709221C6">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742A4401"/>
    <w:multiLevelType w:val="hybridMultilevel"/>
    <w:tmpl w:val="9FB8DAE2"/>
    <w:lvl w:ilvl="0" w:tplc="430EC130">
      <w:start w:val="1"/>
      <w:numFmt w:val="decimal"/>
      <w:lvlText w:val="%1."/>
      <w:lvlJc w:val="left"/>
      <w:pPr>
        <w:ind w:left="1287" w:hanging="360"/>
      </w:pPr>
      <w:rPr>
        <w:rFonts w:ascii="Tahoma" w:hAnsi="Tahoma" w:cs="Tahoma" w:hint="default"/>
        <w:b/>
        <w:sz w:val="20"/>
        <w:szCs w:val="20"/>
      </w:rPr>
    </w:lvl>
    <w:lvl w:ilvl="1" w:tplc="C8DE6CEA">
      <w:start w:val="1"/>
      <w:numFmt w:val="lowerLetter"/>
      <w:lvlText w:val="%2)"/>
      <w:lvlJc w:val="left"/>
      <w:pPr>
        <w:tabs>
          <w:tab w:val="num" w:pos="2007"/>
        </w:tabs>
        <w:ind w:left="2007" w:hanging="360"/>
      </w:pPr>
      <w:rPr>
        <w:rFonts w:hint="default"/>
        <w:b/>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3">
    <w:nsid w:val="77041A0B"/>
    <w:multiLevelType w:val="hybridMultilevel"/>
    <w:tmpl w:val="0624DA72"/>
    <w:lvl w:ilvl="0" w:tplc="0C0A000F">
      <w:start w:val="1"/>
      <w:numFmt w:val="lowerLetter"/>
      <w:lvlText w:val="%1)"/>
      <w:lvlJc w:val="left"/>
      <w:pPr>
        <w:ind w:left="1571" w:hanging="360"/>
      </w:pPr>
      <w:rPr>
        <w:rFonts w:hint="default"/>
        <w:b/>
        <w:lang w:val="es-ES"/>
      </w:rPr>
    </w:lvl>
    <w:lvl w:ilvl="1" w:tplc="0C0A0019" w:tentative="1">
      <w:start w:val="1"/>
      <w:numFmt w:val="lowerLetter"/>
      <w:lvlText w:val="%2."/>
      <w:lvlJc w:val="left"/>
      <w:pPr>
        <w:ind w:left="2291" w:hanging="360"/>
      </w:pPr>
    </w:lvl>
    <w:lvl w:ilvl="2" w:tplc="0C0A001B">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24">
    <w:nsid w:val="7DB72651"/>
    <w:multiLevelType w:val="hybridMultilevel"/>
    <w:tmpl w:val="72B06E10"/>
    <w:lvl w:ilvl="0" w:tplc="0C0A001B">
      <w:start w:val="1"/>
      <w:numFmt w:val="bullet"/>
      <w:lvlText w:val="−"/>
      <w:lvlJc w:val="left"/>
      <w:pPr>
        <w:tabs>
          <w:tab w:val="num" w:pos="1965"/>
        </w:tabs>
        <w:ind w:left="1965" w:hanging="360"/>
      </w:pPr>
      <w:rPr>
        <w:rFonts w:ascii="Times New Roman" w:eastAsia="Times New Roman" w:hAnsi="Times New Roman" w:cs="Times New Roman" w:hint="default"/>
      </w:rPr>
    </w:lvl>
    <w:lvl w:ilvl="1" w:tplc="0C0A0019">
      <w:start w:val="3"/>
      <w:numFmt w:val="upperRoman"/>
      <w:lvlText w:val="%2."/>
      <w:lvlJc w:val="left"/>
      <w:pPr>
        <w:tabs>
          <w:tab w:val="num" w:pos="1800"/>
        </w:tabs>
        <w:ind w:left="1800" w:hanging="720"/>
      </w:pPr>
      <w:rPr>
        <w:rFonts w:hint="default"/>
        <w:b w:val="0"/>
      </w:rPr>
    </w:lvl>
    <w:lvl w:ilvl="2" w:tplc="0C0A001B">
      <w:start w:val="1"/>
      <w:numFmt w:val="decimal"/>
      <w:lvlText w:val="3.%3"/>
      <w:lvlJc w:val="left"/>
      <w:pPr>
        <w:tabs>
          <w:tab w:val="num" w:pos="2160"/>
        </w:tabs>
        <w:ind w:left="2160" w:hanging="360"/>
      </w:pPr>
      <w:rPr>
        <w:rFonts w:hint="default"/>
      </w:rPr>
    </w:lvl>
    <w:lvl w:ilvl="3" w:tplc="0C0A000F">
      <w:start w:val="1"/>
      <w:numFmt w:val="bullet"/>
      <w:lvlText w:val=""/>
      <w:lvlJc w:val="left"/>
      <w:pPr>
        <w:tabs>
          <w:tab w:val="num" w:pos="2880"/>
        </w:tabs>
        <w:ind w:left="2880" w:hanging="360"/>
      </w:pPr>
      <w:rPr>
        <w:rFonts w:ascii="Symbol" w:hAnsi="Symbol" w:hint="default"/>
      </w:rPr>
    </w:lvl>
    <w:lvl w:ilvl="4" w:tplc="0C0A0019">
      <w:start w:val="1"/>
      <w:numFmt w:val="decimal"/>
      <w:lvlText w:val="%5"/>
      <w:lvlJc w:val="left"/>
      <w:pPr>
        <w:ind w:left="3600" w:hanging="360"/>
      </w:pPr>
      <w:rPr>
        <w:rFonts w:hint="default"/>
      </w:rPr>
    </w:lvl>
    <w:lvl w:ilvl="5" w:tplc="0C0A001B">
      <w:start w:val="1"/>
      <w:numFmt w:val="decimal"/>
      <w:lvlText w:val="%6."/>
      <w:lvlJc w:val="left"/>
      <w:pPr>
        <w:ind w:left="4320" w:hanging="360"/>
      </w:pPr>
      <w:rPr>
        <w:rFonts w:hint="default"/>
      </w:rPr>
    </w:lvl>
    <w:lvl w:ilvl="6" w:tplc="0C0A000F">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5">
    <w:nsid w:val="7EC759A6"/>
    <w:multiLevelType w:val="hybridMultilevel"/>
    <w:tmpl w:val="1B886FE6"/>
    <w:lvl w:ilvl="0" w:tplc="EEE8C01E">
      <w:start w:val="1"/>
      <w:numFmt w:val="decimal"/>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2"/>
  </w:num>
  <w:num w:numId="2">
    <w:abstractNumId w:val="15"/>
  </w:num>
  <w:num w:numId="3">
    <w:abstractNumId w:val="4"/>
  </w:num>
  <w:num w:numId="4">
    <w:abstractNumId w:val="6"/>
  </w:num>
  <w:num w:numId="5">
    <w:abstractNumId w:val="1"/>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10"/>
  </w:num>
  <w:num w:numId="11">
    <w:abstractNumId w:val="11"/>
  </w:num>
  <w:num w:numId="12">
    <w:abstractNumId w:val="23"/>
  </w:num>
  <w:num w:numId="13">
    <w:abstractNumId w:val="17"/>
  </w:num>
  <w:num w:numId="14">
    <w:abstractNumId w:val="12"/>
  </w:num>
  <w:num w:numId="15">
    <w:abstractNumId w:val="20"/>
  </w:num>
  <w:num w:numId="16">
    <w:abstractNumId w:val="3"/>
  </w:num>
  <w:num w:numId="17">
    <w:abstractNumId w:val="18"/>
  </w:num>
  <w:num w:numId="18">
    <w:abstractNumId w:val="25"/>
  </w:num>
  <w:num w:numId="19">
    <w:abstractNumId w:val="14"/>
  </w:num>
  <w:num w:numId="20">
    <w:abstractNumId w:val="16"/>
  </w:num>
  <w:num w:numId="21">
    <w:abstractNumId w:val="9"/>
  </w:num>
  <w:num w:numId="22">
    <w:abstractNumId w:val="0"/>
  </w:num>
  <w:num w:numId="23">
    <w:abstractNumId w:val="19"/>
  </w:num>
  <w:num w:numId="24">
    <w:abstractNumId w:val="8"/>
  </w:num>
  <w:num w:numId="25">
    <w:abstractNumId w:val="5"/>
  </w:num>
  <w:num w:numId="26">
    <w:abstractNumId w:val="13"/>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8434"/>
  </w:hdrShapeDefaults>
  <w:footnotePr>
    <w:footnote w:id="0"/>
    <w:footnote w:id="1"/>
  </w:footnotePr>
  <w:endnotePr>
    <w:endnote w:id="0"/>
    <w:endnote w:id="1"/>
  </w:endnotePr>
  <w:compat/>
  <w:rsids>
    <w:rsidRoot w:val="00711297"/>
    <w:rsid w:val="000070EB"/>
    <w:rsid w:val="000115B4"/>
    <w:rsid w:val="00015440"/>
    <w:rsid w:val="00066E33"/>
    <w:rsid w:val="000A3CD2"/>
    <w:rsid w:val="000B0720"/>
    <w:rsid w:val="000B6FEB"/>
    <w:rsid w:val="000E01D1"/>
    <w:rsid w:val="00101193"/>
    <w:rsid w:val="00141BCC"/>
    <w:rsid w:val="00142B7D"/>
    <w:rsid w:val="00162FCA"/>
    <w:rsid w:val="0016735A"/>
    <w:rsid w:val="001D57DE"/>
    <w:rsid w:val="001D728A"/>
    <w:rsid w:val="001E6A70"/>
    <w:rsid w:val="001F190A"/>
    <w:rsid w:val="001F38BE"/>
    <w:rsid w:val="002078ED"/>
    <w:rsid w:val="00212795"/>
    <w:rsid w:val="002401C1"/>
    <w:rsid w:val="002578D8"/>
    <w:rsid w:val="002630C3"/>
    <w:rsid w:val="00275158"/>
    <w:rsid w:val="00277B64"/>
    <w:rsid w:val="0029262B"/>
    <w:rsid w:val="002D1AB4"/>
    <w:rsid w:val="00303817"/>
    <w:rsid w:val="00305D8E"/>
    <w:rsid w:val="003129E0"/>
    <w:rsid w:val="00332D11"/>
    <w:rsid w:val="0036432D"/>
    <w:rsid w:val="003B5386"/>
    <w:rsid w:val="003F28DF"/>
    <w:rsid w:val="0041002F"/>
    <w:rsid w:val="0041279D"/>
    <w:rsid w:val="004156B9"/>
    <w:rsid w:val="00423DAB"/>
    <w:rsid w:val="00431A1D"/>
    <w:rsid w:val="00452C37"/>
    <w:rsid w:val="00491A1B"/>
    <w:rsid w:val="00493A8B"/>
    <w:rsid w:val="00494A73"/>
    <w:rsid w:val="00496C81"/>
    <w:rsid w:val="004A2F3F"/>
    <w:rsid w:val="004C393D"/>
    <w:rsid w:val="004D2DDC"/>
    <w:rsid w:val="004E2E93"/>
    <w:rsid w:val="004F1A48"/>
    <w:rsid w:val="005673D8"/>
    <w:rsid w:val="005757F4"/>
    <w:rsid w:val="005811F4"/>
    <w:rsid w:val="00624E18"/>
    <w:rsid w:val="00661593"/>
    <w:rsid w:val="00665EE9"/>
    <w:rsid w:val="006B65BB"/>
    <w:rsid w:val="006C3078"/>
    <w:rsid w:val="006D0EE9"/>
    <w:rsid w:val="007007F0"/>
    <w:rsid w:val="00711297"/>
    <w:rsid w:val="0077221D"/>
    <w:rsid w:val="007728C3"/>
    <w:rsid w:val="00792EBF"/>
    <w:rsid w:val="007C19F1"/>
    <w:rsid w:val="007D15DD"/>
    <w:rsid w:val="007D2B93"/>
    <w:rsid w:val="00806BF2"/>
    <w:rsid w:val="00806C06"/>
    <w:rsid w:val="00811526"/>
    <w:rsid w:val="008205CC"/>
    <w:rsid w:val="00822F18"/>
    <w:rsid w:val="00831F2B"/>
    <w:rsid w:val="00857463"/>
    <w:rsid w:val="00871316"/>
    <w:rsid w:val="0087374F"/>
    <w:rsid w:val="00877F0D"/>
    <w:rsid w:val="00893198"/>
    <w:rsid w:val="008B56B1"/>
    <w:rsid w:val="008D0CBB"/>
    <w:rsid w:val="009269B4"/>
    <w:rsid w:val="00986843"/>
    <w:rsid w:val="009871D2"/>
    <w:rsid w:val="009B4922"/>
    <w:rsid w:val="009C3AD8"/>
    <w:rsid w:val="009C7372"/>
    <w:rsid w:val="00A00959"/>
    <w:rsid w:val="00A01498"/>
    <w:rsid w:val="00A23794"/>
    <w:rsid w:val="00A40123"/>
    <w:rsid w:val="00A43A67"/>
    <w:rsid w:val="00A460D5"/>
    <w:rsid w:val="00A50577"/>
    <w:rsid w:val="00A539DF"/>
    <w:rsid w:val="00AD56A4"/>
    <w:rsid w:val="00AE34F7"/>
    <w:rsid w:val="00AE4C07"/>
    <w:rsid w:val="00B05429"/>
    <w:rsid w:val="00B17CAB"/>
    <w:rsid w:val="00B326B5"/>
    <w:rsid w:val="00B327B4"/>
    <w:rsid w:val="00BD1EAF"/>
    <w:rsid w:val="00BE0C34"/>
    <w:rsid w:val="00BF2EF7"/>
    <w:rsid w:val="00BF6919"/>
    <w:rsid w:val="00C156F5"/>
    <w:rsid w:val="00C345ED"/>
    <w:rsid w:val="00C3613C"/>
    <w:rsid w:val="00C46DE3"/>
    <w:rsid w:val="00C6431F"/>
    <w:rsid w:val="00C737FA"/>
    <w:rsid w:val="00C92BDE"/>
    <w:rsid w:val="00C930B1"/>
    <w:rsid w:val="00CC02FE"/>
    <w:rsid w:val="00CE3EE9"/>
    <w:rsid w:val="00D63ECF"/>
    <w:rsid w:val="00D75CB2"/>
    <w:rsid w:val="00D83E6E"/>
    <w:rsid w:val="00DD0EB3"/>
    <w:rsid w:val="00E02E9E"/>
    <w:rsid w:val="00E376A0"/>
    <w:rsid w:val="00E53BE0"/>
    <w:rsid w:val="00E92B54"/>
    <w:rsid w:val="00E949AC"/>
    <w:rsid w:val="00EA1648"/>
    <w:rsid w:val="00EA5F27"/>
    <w:rsid w:val="00EB60D5"/>
    <w:rsid w:val="00EC725E"/>
    <w:rsid w:val="00EE0B96"/>
    <w:rsid w:val="00F179DB"/>
    <w:rsid w:val="00F30719"/>
    <w:rsid w:val="00F543DD"/>
    <w:rsid w:val="00F81266"/>
    <w:rsid w:val="00FA55CE"/>
    <w:rsid w:val="00FE18D9"/>
    <w:rsid w:val="00FE6DDC"/>
    <w:rsid w:val="00FF74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29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11297"/>
    <w:pPr>
      <w:spacing w:after="120"/>
    </w:pPr>
    <w:rPr>
      <w:sz w:val="16"/>
      <w:szCs w:val="16"/>
      <w:lang w:val="es-PE"/>
    </w:rPr>
  </w:style>
  <w:style w:type="character" w:customStyle="1" w:styleId="Textoindependiente3Car">
    <w:name w:val="Texto independiente 3 Car"/>
    <w:basedOn w:val="Fuentedeprrafopredeter"/>
    <w:link w:val="Textoindependiente3"/>
    <w:rsid w:val="00711297"/>
    <w:rPr>
      <w:rFonts w:ascii="Times New Roman" w:eastAsia="Times New Roman" w:hAnsi="Times New Roman" w:cs="Times New Roman"/>
      <w:sz w:val="16"/>
      <w:szCs w:val="16"/>
      <w:lang w:val="es-PE" w:eastAsia="es-ES"/>
    </w:rPr>
  </w:style>
  <w:style w:type="paragraph" w:styleId="Prrafodelista">
    <w:name w:val="List Paragraph"/>
    <w:basedOn w:val="Normal"/>
    <w:uiPriority w:val="34"/>
    <w:qFormat/>
    <w:rsid w:val="00711297"/>
    <w:pPr>
      <w:ind w:left="720"/>
      <w:contextualSpacing/>
    </w:pPr>
  </w:style>
  <w:style w:type="paragraph" w:styleId="Textonotapie">
    <w:name w:val="footnote text"/>
    <w:aliases w:val=" Car,Car,Car Car,Car Car Car,Texto nota pie1, Car4,Car4,Body Text, Car2 Car Car Car Car Car, Car2 Car, Car2, Car1 Car,Car1 Car, Car2 Car1 Car, Car1,Car2 Car Car Car Car Car,Car2 Car Car,Car2 Car,Car2 Car Car Car Car Car Car, Car Car Car"/>
    <w:basedOn w:val="Normal"/>
    <w:link w:val="TextonotapieCar"/>
    <w:rsid w:val="00711297"/>
    <w:rPr>
      <w:sz w:val="20"/>
      <w:szCs w:val="20"/>
    </w:rPr>
  </w:style>
  <w:style w:type="character" w:customStyle="1" w:styleId="TextonotapieCar">
    <w:name w:val="Texto nota pie Car"/>
    <w:aliases w:val=" Car Car,Car Car1,Car Car Car1,Car Car Car Car,Texto nota pie1 Car, Car4 Car,Car4 Car,Body Text Car, Car2 Car Car Car Car Car Car, Car2 Car Car, Car2 Car1, Car1 Car Car,Car1 Car Car, Car2 Car1 Car Car, Car1 Car1,Car2 Car Car Car"/>
    <w:basedOn w:val="Fuentedeprrafopredeter"/>
    <w:link w:val="Textonotapie"/>
    <w:rsid w:val="00711297"/>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11297"/>
    <w:rPr>
      <w:rFonts w:cs="Times New Roman"/>
      <w:vertAlign w:val="superscript"/>
    </w:rPr>
  </w:style>
  <w:style w:type="paragraph" w:styleId="Sinespaciado">
    <w:name w:val="No Spacing"/>
    <w:uiPriority w:val="1"/>
    <w:qFormat/>
    <w:rsid w:val="00711297"/>
    <w:pPr>
      <w:spacing w:after="0" w:line="240" w:lineRule="auto"/>
    </w:pPr>
    <w:rPr>
      <w:rFonts w:ascii="Calibri" w:eastAsia="Calibri" w:hAnsi="Calibri" w:cs="Times New Roman"/>
    </w:rPr>
  </w:style>
  <w:style w:type="paragraph" w:customStyle="1" w:styleId="Textoindependiente21">
    <w:name w:val="Texto independiente 21"/>
    <w:basedOn w:val="Normal"/>
    <w:rsid w:val="00711297"/>
    <w:pPr>
      <w:jc w:val="both"/>
    </w:pPr>
    <w:rPr>
      <w:rFonts w:ascii="Tahoma" w:hAnsi="Tahoma"/>
      <w:sz w:val="22"/>
      <w:szCs w:val="20"/>
    </w:rPr>
  </w:style>
  <w:style w:type="paragraph" w:styleId="Piedepgina">
    <w:name w:val="footer"/>
    <w:basedOn w:val="Normal"/>
    <w:link w:val="PiedepginaCar"/>
    <w:uiPriority w:val="99"/>
    <w:unhideWhenUsed/>
    <w:rsid w:val="00711297"/>
    <w:pPr>
      <w:tabs>
        <w:tab w:val="center" w:pos="4252"/>
        <w:tab w:val="right" w:pos="8504"/>
      </w:tabs>
    </w:pPr>
  </w:style>
  <w:style w:type="character" w:customStyle="1" w:styleId="PiedepginaCar">
    <w:name w:val="Pie de página Car"/>
    <w:basedOn w:val="Fuentedeprrafopredeter"/>
    <w:link w:val="Piedepgina"/>
    <w:uiPriority w:val="99"/>
    <w:rsid w:val="00711297"/>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nhideWhenUsed/>
    <w:rsid w:val="00711297"/>
    <w:pPr>
      <w:spacing w:after="120"/>
    </w:pPr>
  </w:style>
  <w:style w:type="character" w:customStyle="1" w:styleId="TextoindependienteCar">
    <w:name w:val="Texto independiente Car"/>
    <w:basedOn w:val="Fuentedeprrafopredeter"/>
    <w:link w:val="Textoindependiente"/>
    <w:rsid w:val="00711297"/>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nhideWhenUsed/>
    <w:rsid w:val="00877F0D"/>
    <w:pPr>
      <w:spacing w:after="120" w:line="480" w:lineRule="auto"/>
    </w:pPr>
    <w:rPr>
      <w:sz w:val="20"/>
      <w:szCs w:val="20"/>
    </w:rPr>
  </w:style>
  <w:style w:type="character" w:customStyle="1" w:styleId="Textoindependiente2Car">
    <w:name w:val="Texto independiente 2 Car"/>
    <w:basedOn w:val="Fuentedeprrafopredeter"/>
    <w:link w:val="Textoindependiente2"/>
    <w:rsid w:val="00877F0D"/>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uiPriority w:val="99"/>
    <w:unhideWhenUsed/>
    <w:rsid w:val="00986843"/>
    <w:pPr>
      <w:spacing w:after="120"/>
      <w:ind w:left="283"/>
      <w:jc w:val="both"/>
    </w:pPr>
    <w:rPr>
      <w:rFonts w:ascii="Tahoma" w:eastAsia="Calibri" w:hAnsi="Tahoma"/>
      <w:sz w:val="22"/>
      <w:szCs w:val="22"/>
      <w:lang w:eastAsia="en-US"/>
    </w:rPr>
  </w:style>
  <w:style w:type="character" w:customStyle="1" w:styleId="SangradetextonormalCar">
    <w:name w:val="Sangría de texto normal Car"/>
    <w:basedOn w:val="Fuentedeprrafopredeter"/>
    <w:link w:val="Sangradetextonormal"/>
    <w:uiPriority w:val="99"/>
    <w:rsid w:val="00986843"/>
    <w:rPr>
      <w:rFonts w:ascii="Tahoma" w:eastAsia="Calibri" w:hAnsi="Tahoma" w:cs="Times New Roman"/>
    </w:rPr>
  </w:style>
  <w:style w:type="paragraph" w:styleId="Encabezado">
    <w:name w:val="header"/>
    <w:aliases w:val="maria,h"/>
    <w:basedOn w:val="Normal"/>
    <w:link w:val="EncabezadoCar"/>
    <w:uiPriority w:val="99"/>
    <w:semiHidden/>
    <w:unhideWhenUsed/>
    <w:rsid w:val="00491A1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91A1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93562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9</Pages>
  <Words>3432</Words>
  <Characters>18879</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142</cp:revision>
  <cp:lastPrinted>2011-04-27T15:58:00Z</cp:lastPrinted>
  <dcterms:created xsi:type="dcterms:W3CDTF">2009-12-29T20:43:00Z</dcterms:created>
  <dcterms:modified xsi:type="dcterms:W3CDTF">2011-05-09T14:21:00Z</dcterms:modified>
</cp:coreProperties>
</file>